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034D" w14:textId="77777777" w:rsidR="00B959A0" w:rsidRPr="00774658" w:rsidRDefault="00B959A0" w:rsidP="0026781D">
      <w:pPr>
        <w:pStyle w:val="Default"/>
        <w:spacing w:before="100" w:beforeAutospacing="1" w:after="100" w:afterAutospacing="1" w:line="23" w:lineRule="atLeast"/>
        <w:rPr>
          <w:color w:val="auto"/>
          <w:sz w:val="22"/>
          <w:szCs w:val="22"/>
        </w:rPr>
      </w:pPr>
    </w:p>
    <w:tbl>
      <w:tblPr>
        <w:tblStyle w:val="Tablaconcuadrcula"/>
        <w:tblW w:w="0" w:type="auto"/>
        <w:tblLook w:val="04A0" w:firstRow="1" w:lastRow="0" w:firstColumn="1" w:lastColumn="0" w:noHBand="0" w:noVBand="1"/>
      </w:tblPr>
      <w:tblGrid>
        <w:gridCol w:w="8494"/>
      </w:tblGrid>
      <w:tr w:rsidR="006A7F7E" w:rsidRPr="00173F44" w14:paraId="55539335" w14:textId="77777777" w:rsidTr="4F6C8ABF">
        <w:tc>
          <w:tcPr>
            <w:tcW w:w="8644" w:type="dxa"/>
            <w:shd w:val="clear" w:color="auto" w:fill="DAEEF3" w:themeFill="accent5" w:themeFillTint="33"/>
          </w:tcPr>
          <w:p w14:paraId="36D9058E" w14:textId="77777777" w:rsidR="00BC359D" w:rsidRDefault="00BC359D" w:rsidP="009E2EFF">
            <w:pPr>
              <w:spacing w:line="259" w:lineRule="auto"/>
              <w:jc w:val="both"/>
              <w:rPr>
                <w:rFonts w:ascii="Arial" w:hAnsi="Arial" w:cs="Arial"/>
                <w:b/>
                <w:bCs/>
              </w:rPr>
            </w:pPr>
          </w:p>
          <w:p w14:paraId="2B0ACAC6" w14:textId="32DE84FC" w:rsidR="00A253A7" w:rsidRPr="005418CB" w:rsidRDefault="006654B7" w:rsidP="009E2EFF">
            <w:pPr>
              <w:spacing w:line="259" w:lineRule="auto"/>
              <w:jc w:val="both"/>
              <w:rPr>
                <w:rFonts w:ascii="Arial" w:hAnsi="Arial" w:cs="Arial"/>
                <w:b/>
                <w:bCs/>
              </w:rPr>
            </w:pPr>
            <w:r w:rsidRPr="005418CB">
              <w:rPr>
                <w:rFonts w:ascii="Arial" w:hAnsi="Arial" w:cs="Arial"/>
                <w:b/>
                <w:bCs/>
              </w:rPr>
              <w:t xml:space="preserve">CONSULTA PÚBLICA PREVIA A LA ELABORACIÓN DEL PROYECTO DE DECRETO </w:t>
            </w:r>
            <w:r w:rsidR="00B67B10">
              <w:rPr>
                <w:rFonts w:ascii="Arial" w:hAnsi="Arial" w:cs="Arial"/>
                <w:b/>
                <w:bCs/>
              </w:rPr>
              <w:t>DEL</w:t>
            </w:r>
            <w:r w:rsidR="3E65FFDD" w:rsidRPr="005418CB">
              <w:rPr>
                <w:rFonts w:ascii="Arial" w:hAnsi="Arial" w:cs="Arial"/>
                <w:b/>
                <w:bCs/>
              </w:rPr>
              <w:t xml:space="preserve"> SERVICIO DE INFORMACION Y ATENCION A MUJERES VICTIMAS DE VIOLENCIA </w:t>
            </w:r>
            <w:r w:rsidR="009E2EFF" w:rsidRPr="005418CB">
              <w:rPr>
                <w:rFonts w:ascii="Arial" w:hAnsi="Arial" w:cs="Arial"/>
                <w:b/>
                <w:bCs/>
              </w:rPr>
              <w:t xml:space="preserve">DOMESTICA O POR RAZON DE SEXO. </w:t>
            </w:r>
          </w:p>
          <w:p w14:paraId="215F051B" w14:textId="0B53DB25" w:rsidR="009E2EFF" w:rsidRPr="00173F44" w:rsidRDefault="009E2EFF" w:rsidP="009E2EFF">
            <w:pPr>
              <w:spacing w:line="259" w:lineRule="auto"/>
              <w:jc w:val="both"/>
              <w:rPr>
                <w:rFonts w:ascii="Arial" w:hAnsi="Arial" w:cs="Arial"/>
                <w:b/>
                <w:bCs/>
                <w:lang w:val="eu-ES"/>
              </w:rPr>
            </w:pPr>
          </w:p>
        </w:tc>
      </w:tr>
    </w:tbl>
    <w:p w14:paraId="70BB5FB0" w14:textId="3B222D33" w:rsidR="00237C97" w:rsidRPr="00173F44" w:rsidRDefault="00F109C3" w:rsidP="0026781D">
      <w:pPr>
        <w:pStyle w:val="Default"/>
        <w:spacing w:before="100" w:beforeAutospacing="1" w:after="100" w:afterAutospacing="1" w:line="23" w:lineRule="atLeast"/>
        <w:jc w:val="both"/>
        <w:rPr>
          <w:rFonts w:ascii="Arial" w:eastAsia="Times New Roman" w:hAnsi="Arial" w:cs="Arial"/>
          <w:color w:val="auto"/>
          <w:sz w:val="22"/>
          <w:szCs w:val="22"/>
        </w:rPr>
      </w:pPr>
      <w:r w:rsidRPr="00173F44">
        <w:rPr>
          <w:rFonts w:ascii="Arial" w:eastAsia="Times New Roman" w:hAnsi="Arial" w:cs="Arial"/>
          <w:color w:val="auto"/>
          <w:sz w:val="22"/>
          <w:szCs w:val="22"/>
        </w:rPr>
        <w:t>En cumplimiento de lo previsto por</w:t>
      </w:r>
      <w:r w:rsidR="006779F4" w:rsidRPr="00173F44">
        <w:rPr>
          <w:rFonts w:ascii="Arial" w:eastAsia="Times New Roman" w:hAnsi="Arial" w:cs="Arial"/>
          <w:color w:val="auto"/>
          <w:sz w:val="22"/>
          <w:szCs w:val="22"/>
        </w:rPr>
        <w:t xml:space="preserve"> el artículo 133</w:t>
      </w:r>
      <w:r w:rsidR="00842276" w:rsidRPr="00173F44">
        <w:rPr>
          <w:rFonts w:ascii="Arial" w:eastAsia="Times New Roman" w:hAnsi="Arial" w:cs="Arial"/>
          <w:color w:val="auto"/>
          <w:sz w:val="22"/>
          <w:szCs w:val="22"/>
        </w:rPr>
        <w:t>.1 de la L</w:t>
      </w:r>
      <w:r w:rsidR="006779F4" w:rsidRPr="00173F44">
        <w:rPr>
          <w:rFonts w:ascii="Arial" w:eastAsia="Times New Roman" w:hAnsi="Arial" w:cs="Arial"/>
          <w:color w:val="auto"/>
          <w:sz w:val="22"/>
          <w:szCs w:val="22"/>
        </w:rPr>
        <w:t xml:space="preserve">ey 39/2015 de 1 de octubre, del </w:t>
      </w:r>
      <w:r w:rsidR="00826CA1" w:rsidRPr="00173F44">
        <w:rPr>
          <w:rFonts w:ascii="Arial" w:eastAsia="Times New Roman" w:hAnsi="Arial" w:cs="Arial"/>
          <w:color w:val="auto"/>
          <w:sz w:val="22"/>
          <w:szCs w:val="22"/>
        </w:rPr>
        <w:t>Procedimiento Administrativo Común de</w:t>
      </w:r>
      <w:r w:rsidR="00521C93" w:rsidRPr="00173F44">
        <w:rPr>
          <w:rFonts w:ascii="Arial" w:eastAsia="Times New Roman" w:hAnsi="Arial" w:cs="Arial"/>
          <w:color w:val="auto"/>
          <w:sz w:val="22"/>
          <w:szCs w:val="22"/>
        </w:rPr>
        <w:t xml:space="preserve"> las Administraciones Públicas, </w:t>
      </w:r>
      <w:r w:rsidR="006779F4" w:rsidRPr="00173F44">
        <w:rPr>
          <w:rFonts w:ascii="Arial" w:eastAsia="Times New Roman" w:hAnsi="Arial" w:cs="Arial"/>
          <w:color w:val="auto"/>
          <w:sz w:val="22"/>
          <w:szCs w:val="22"/>
        </w:rPr>
        <w:t>esta consulta previa tiene por objeto re</w:t>
      </w:r>
      <w:r w:rsidR="00757FF2" w:rsidRPr="00173F44">
        <w:rPr>
          <w:rFonts w:ascii="Arial" w:eastAsia="Times New Roman" w:hAnsi="Arial" w:cs="Arial"/>
          <w:color w:val="auto"/>
          <w:sz w:val="22"/>
          <w:szCs w:val="22"/>
        </w:rPr>
        <w:t>cabar la opinión de las personas</w:t>
      </w:r>
      <w:r w:rsidRPr="00173F44">
        <w:rPr>
          <w:rFonts w:ascii="Arial" w:eastAsia="Times New Roman" w:hAnsi="Arial" w:cs="Arial"/>
          <w:color w:val="auto"/>
          <w:sz w:val="22"/>
          <w:szCs w:val="22"/>
        </w:rPr>
        <w:t xml:space="preserve"> </w:t>
      </w:r>
      <w:r w:rsidR="006779F4" w:rsidRPr="00173F44">
        <w:rPr>
          <w:rFonts w:ascii="Arial" w:eastAsia="Times New Roman" w:hAnsi="Arial" w:cs="Arial"/>
          <w:color w:val="auto"/>
          <w:sz w:val="22"/>
          <w:szCs w:val="22"/>
        </w:rPr>
        <w:t>y</w:t>
      </w:r>
      <w:r w:rsidRPr="00173F44">
        <w:rPr>
          <w:rFonts w:ascii="Arial" w:eastAsia="Times New Roman" w:hAnsi="Arial" w:cs="Arial"/>
          <w:color w:val="auto"/>
          <w:sz w:val="22"/>
          <w:szCs w:val="22"/>
        </w:rPr>
        <w:t xml:space="preserve"> </w:t>
      </w:r>
      <w:r w:rsidR="00757FF2" w:rsidRPr="00173F44">
        <w:rPr>
          <w:rFonts w:ascii="Arial" w:eastAsia="Times New Roman" w:hAnsi="Arial" w:cs="Arial"/>
          <w:color w:val="auto"/>
          <w:sz w:val="22"/>
          <w:szCs w:val="22"/>
        </w:rPr>
        <w:t>de las</w:t>
      </w:r>
      <w:r w:rsidR="006779F4" w:rsidRPr="00173F44">
        <w:rPr>
          <w:rFonts w:ascii="Arial" w:eastAsia="Times New Roman" w:hAnsi="Arial" w:cs="Arial"/>
          <w:color w:val="auto"/>
          <w:sz w:val="22"/>
          <w:szCs w:val="22"/>
        </w:rPr>
        <w:t xml:space="preserve"> organizaciones más representativas </w:t>
      </w:r>
      <w:r w:rsidR="00DA3495" w:rsidRPr="00173F44">
        <w:rPr>
          <w:rFonts w:ascii="Arial" w:eastAsia="Times New Roman" w:hAnsi="Arial" w:cs="Arial"/>
          <w:color w:val="auto"/>
          <w:sz w:val="22"/>
          <w:szCs w:val="22"/>
        </w:rPr>
        <w:t>potencialmente</w:t>
      </w:r>
      <w:r w:rsidRPr="00173F44">
        <w:rPr>
          <w:rFonts w:ascii="Arial" w:eastAsia="Times New Roman" w:hAnsi="Arial" w:cs="Arial"/>
          <w:color w:val="auto"/>
          <w:sz w:val="22"/>
          <w:szCs w:val="22"/>
        </w:rPr>
        <w:t xml:space="preserve"> </w:t>
      </w:r>
      <w:r w:rsidR="006779F4" w:rsidRPr="00173F44">
        <w:rPr>
          <w:rFonts w:ascii="Arial" w:eastAsia="Times New Roman" w:hAnsi="Arial" w:cs="Arial"/>
          <w:color w:val="auto"/>
          <w:sz w:val="22"/>
          <w:szCs w:val="22"/>
        </w:rPr>
        <w:t>afectadas por la futura norma</w:t>
      </w:r>
      <w:r w:rsidR="001B226C" w:rsidRPr="00173F44">
        <w:rPr>
          <w:rFonts w:ascii="Arial" w:eastAsia="Times New Roman" w:hAnsi="Arial" w:cs="Arial"/>
          <w:color w:val="auto"/>
          <w:sz w:val="22"/>
          <w:szCs w:val="22"/>
        </w:rPr>
        <w:t>,</w:t>
      </w:r>
      <w:r w:rsidR="006779F4" w:rsidRPr="00173F44">
        <w:rPr>
          <w:rFonts w:ascii="Arial" w:eastAsia="Times New Roman" w:hAnsi="Arial" w:cs="Arial"/>
          <w:color w:val="auto"/>
          <w:sz w:val="22"/>
          <w:szCs w:val="22"/>
        </w:rPr>
        <w:t xml:space="preserve"> acerca de: </w:t>
      </w:r>
    </w:p>
    <w:p w14:paraId="5F52CE3C" w14:textId="77777777" w:rsidR="006779F4" w:rsidRPr="00173F44" w:rsidRDefault="006779F4" w:rsidP="0026781D">
      <w:pPr>
        <w:pStyle w:val="Default"/>
        <w:spacing w:before="100" w:beforeAutospacing="1" w:after="100" w:afterAutospacing="1" w:line="23" w:lineRule="atLeast"/>
        <w:ind w:left="709"/>
        <w:rPr>
          <w:rFonts w:ascii="Arial" w:eastAsia="Times New Roman" w:hAnsi="Arial" w:cs="Arial"/>
          <w:color w:val="auto"/>
          <w:sz w:val="22"/>
          <w:szCs w:val="22"/>
        </w:rPr>
      </w:pPr>
      <w:r w:rsidRPr="00173F44">
        <w:rPr>
          <w:rFonts w:ascii="Arial" w:eastAsia="Times New Roman" w:hAnsi="Arial" w:cs="Arial"/>
          <w:color w:val="auto"/>
          <w:sz w:val="22"/>
          <w:szCs w:val="22"/>
        </w:rPr>
        <w:t xml:space="preserve">• Los problemas que se pretenden solucionar con la iniciativa </w:t>
      </w:r>
    </w:p>
    <w:p w14:paraId="06BEB1D6" w14:textId="77777777" w:rsidR="006779F4" w:rsidRPr="00173F44" w:rsidRDefault="006779F4" w:rsidP="0026781D">
      <w:pPr>
        <w:pStyle w:val="Default"/>
        <w:spacing w:before="100" w:beforeAutospacing="1" w:after="100" w:afterAutospacing="1" w:line="23" w:lineRule="atLeast"/>
        <w:ind w:left="709"/>
        <w:rPr>
          <w:rFonts w:ascii="Arial" w:eastAsia="Times New Roman" w:hAnsi="Arial" w:cs="Arial"/>
          <w:color w:val="auto"/>
          <w:sz w:val="22"/>
          <w:szCs w:val="22"/>
        </w:rPr>
      </w:pPr>
      <w:r w:rsidRPr="00173F44">
        <w:rPr>
          <w:rFonts w:ascii="Arial" w:eastAsia="Times New Roman" w:hAnsi="Arial" w:cs="Arial"/>
          <w:color w:val="auto"/>
          <w:sz w:val="22"/>
          <w:szCs w:val="22"/>
        </w:rPr>
        <w:t xml:space="preserve">• La necesidad y oportunidad de su aprobación </w:t>
      </w:r>
    </w:p>
    <w:p w14:paraId="5CB910A5" w14:textId="77777777" w:rsidR="006779F4" w:rsidRPr="00173F44" w:rsidRDefault="00DA72A6" w:rsidP="0026781D">
      <w:pPr>
        <w:pStyle w:val="Default"/>
        <w:spacing w:before="100" w:beforeAutospacing="1" w:after="100" w:afterAutospacing="1" w:line="23" w:lineRule="atLeast"/>
        <w:ind w:left="709"/>
        <w:rPr>
          <w:rFonts w:ascii="Arial" w:eastAsia="Times New Roman" w:hAnsi="Arial" w:cs="Arial"/>
          <w:color w:val="auto"/>
          <w:sz w:val="22"/>
          <w:szCs w:val="22"/>
        </w:rPr>
      </w:pPr>
      <w:r w:rsidRPr="00173F44">
        <w:rPr>
          <w:rFonts w:ascii="Arial" w:eastAsia="Times New Roman" w:hAnsi="Arial" w:cs="Arial"/>
          <w:color w:val="auto"/>
          <w:sz w:val="22"/>
          <w:szCs w:val="22"/>
        </w:rPr>
        <w:t>• El objetivo</w:t>
      </w:r>
      <w:r w:rsidR="006779F4" w:rsidRPr="00173F44">
        <w:rPr>
          <w:rFonts w:ascii="Arial" w:eastAsia="Times New Roman" w:hAnsi="Arial" w:cs="Arial"/>
          <w:color w:val="auto"/>
          <w:sz w:val="22"/>
          <w:szCs w:val="22"/>
        </w:rPr>
        <w:t xml:space="preserve"> de la norma </w:t>
      </w:r>
    </w:p>
    <w:p w14:paraId="59C12F25" w14:textId="02EFCEE8" w:rsidR="000E3878" w:rsidRPr="00173F44" w:rsidRDefault="006779F4" w:rsidP="00F00C59">
      <w:pPr>
        <w:pStyle w:val="Default"/>
        <w:spacing w:before="100" w:beforeAutospacing="1" w:after="100" w:afterAutospacing="1" w:line="23" w:lineRule="atLeast"/>
        <w:ind w:left="709"/>
        <w:rPr>
          <w:rFonts w:ascii="Arial" w:eastAsia="Times New Roman" w:hAnsi="Arial" w:cs="Arial"/>
          <w:color w:val="auto"/>
          <w:sz w:val="22"/>
          <w:szCs w:val="22"/>
        </w:rPr>
      </w:pPr>
      <w:r w:rsidRPr="00173F44">
        <w:rPr>
          <w:rFonts w:ascii="Arial" w:eastAsia="Times New Roman" w:hAnsi="Arial" w:cs="Arial"/>
          <w:color w:val="auto"/>
          <w:sz w:val="22"/>
          <w:szCs w:val="22"/>
        </w:rPr>
        <w:t xml:space="preserve">• Las posibles soluciones alternativas regulatorias y no regulatorias </w:t>
      </w:r>
    </w:p>
    <w:tbl>
      <w:tblPr>
        <w:tblStyle w:val="Tablaconcuadrcula"/>
        <w:tblpPr w:leftFromText="141" w:rightFromText="141" w:vertAnchor="text" w:horzAnchor="margin" w:tblpY="67"/>
        <w:tblW w:w="8499" w:type="dxa"/>
        <w:tblLook w:val="04A0" w:firstRow="1" w:lastRow="0" w:firstColumn="1" w:lastColumn="0" w:noHBand="0" w:noVBand="1"/>
      </w:tblPr>
      <w:tblGrid>
        <w:gridCol w:w="1980"/>
        <w:gridCol w:w="6519"/>
      </w:tblGrid>
      <w:tr w:rsidR="009432EF" w:rsidRPr="00173F44" w14:paraId="372E73AC" w14:textId="77777777" w:rsidTr="331C6B3B">
        <w:trPr>
          <w:trHeight w:val="841"/>
        </w:trPr>
        <w:tc>
          <w:tcPr>
            <w:tcW w:w="1980" w:type="dxa"/>
            <w:shd w:val="clear" w:color="auto" w:fill="DAEEF3" w:themeFill="accent5" w:themeFillTint="33"/>
          </w:tcPr>
          <w:p w14:paraId="3D41A7FE" w14:textId="7336D362" w:rsidR="009432EF" w:rsidRPr="009E2EFF" w:rsidRDefault="009432EF" w:rsidP="00DE265C">
            <w:pPr>
              <w:pStyle w:val="Default"/>
              <w:spacing w:line="276" w:lineRule="auto"/>
              <w:rPr>
                <w:rFonts w:ascii="Arial" w:eastAsia="Times New Roman" w:hAnsi="Arial" w:cs="Arial"/>
                <w:b/>
                <w:color w:val="auto"/>
                <w:sz w:val="22"/>
                <w:szCs w:val="22"/>
              </w:rPr>
            </w:pPr>
            <w:r w:rsidRPr="009E2EFF">
              <w:rPr>
                <w:rFonts w:ascii="Arial" w:eastAsia="Times New Roman" w:hAnsi="Arial" w:cs="Arial"/>
                <w:b/>
                <w:color w:val="auto"/>
                <w:sz w:val="22"/>
                <w:szCs w:val="22"/>
              </w:rPr>
              <w:t>Antecedentes de la norma</w:t>
            </w:r>
          </w:p>
        </w:tc>
        <w:tc>
          <w:tcPr>
            <w:tcW w:w="6519" w:type="dxa"/>
            <w:shd w:val="clear" w:color="auto" w:fill="D6E3BC" w:themeFill="accent3" w:themeFillTint="66"/>
          </w:tcPr>
          <w:p w14:paraId="4B65D594" w14:textId="429B26F7" w:rsidR="009E2EFF" w:rsidRDefault="009E2EFF" w:rsidP="009E2EFF">
            <w:pPr>
              <w:pStyle w:val="Ttulo4"/>
              <w:spacing w:line="276" w:lineRule="auto"/>
              <w:ind w:left="152"/>
              <w:jc w:val="both"/>
              <w:outlineLvl w:val="3"/>
              <w:rPr>
                <w:rFonts w:ascii="Arial" w:hAnsi="Arial" w:cs="Arial"/>
                <w:b w:val="0"/>
                <w:snapToGrid w:val="0"/>
                <w:sz w:val="22"/>
                <w:szCs w:val="22"/>
              </w:rPr>
            </w:pPr>
            <w:r w:rsidRPr="009E2EFF">
              <w:rPr>
                <w:rFonts w:ascii="Arial" w:eastAsia="Times New Roman" w:hAnsi="Arial" w:cs="Arial"/>
                <w:b w:val="0"/>
                <w:sz w:val="22"/>
                <w:szCs w:val="22"/>
              </w:rPr>
              <w:t>-</w:t>
            </w:r>
            <w:r w:rsidRPr="009E2EFF">
              <w:rPr>
                <w:rFonts w:ascii="Arial" w:hAnsi="Arial" w:cs="Arial"/>
                <w:b w:val="0"/>
                <w:snapToGrid w:val="0"/>
                <w:sz w:val="22"/>
                <w:szCs w:val="22"/>
              </w:rPr>
              <w:t>Convenio del Consejo de Europa sobre Prevención y Lucha contra la Violencia contra las Mujeres y la Violencia Doméstica (Convenio de Estambul) en sus artículos 19 y 24.</w:t>
            </w:r>
          </w:p>
          <w:p w14:paraId="5532A8B9" w14:textId="77777777" w:rsidR="001F3F4C" w:rsidRPr="009E2EFF" w:rsidRDefault="001F3F4C" w:rsidP="009E2EFF">
            <w:pPr>
              <w:pStyle w:val="Ttulo4"/>
              <w:spacing w:line="276" w:lineRule="auto"/>
              <w:ind w:left="152"/>
              <w:jc w:val="both"/>
              <w:outlineLvl w:val="3"/>
              <w:rPr>
                <w:rFonts w:ascii="Arial" w:hAnsi="Arial" w:cs="Arial"/>
                <w:b w:val="0"/>
                <w:snapToGrid w:val="0"/>
                <w:sz w:val="22"/>
                <w:szCs w:val="22"/>
              </w:rPr>
            </w:pPr>
          </w:p>
          <w:p w14:paraId="1ADDBAC2" w14:textId="40971EC0" w:rsidR="009E2EFF" w:rsidRDefault="009E2EFF" w:rsidP="009E2EFF">
            <w:pPr>
              <w:pStyle w:val="Ttulo4"/>
              <w:spacing w:line="276" w:lineRule="auto"/>
              <w:ind w:left="152"/>
              <w:jc w:val="both"/>
              <w:outlineLvl w:val="3"/>
              <w:rPr>
                <w:rFonts w:ascii="Arial" w:hAnsi="Arial" w:cs="Arial"/>
                <w:b w:val="0"/>
                <w:bCs w:val="0"/>
                <w:color w:val="000000" w:themeColor="text1"/>
                <w:sz w:val="22"/>
                <w:szCs w:val="22"/>
              </w:rPr>
            </w:pPr>
            <w:r w:rsidRPr="009E2EFF">
              <w:rPr>
                <w:rFonts w:ascii="Arial" w:hAnsi="Arial" w:cs="Arial"/>
                <w:b w:val="0"/>
                <w:bCs w:val="0"/>
                <w:color w:val="000000" w:themeColor="text1"/>
                <w:sz w:val="22"/>
                <w:szCs w:val="22"/>
              </w:rPr>
              <w:t>-La Ley Orgánica 1/2004, de 28 de diciembre, de Medidas de Protección Integral contra la Violencia de</w:t>
            </w:r>
            <w:r w:rsidRPr="009E2EFF">
              <w:rPr>
                <w:rFonts w:ascii="Arial" w:hAnsi="Arial" w:cs="Arial"/>
                <w:b w:val="0"/>
                <w:bCs w:val="0"/>
                <w:color w:val="000000" w:themeColor="text1"/>
                <w:spacing w:val="1"/>
                <w:sz w:val="22"/>
                <w:szCs w:val="22"/>
              </w:rPr>
              <w:t xml:space="preserve"> </w:t>
            </w:r>
            <w:r w:rsidRPr="009E2EFF">
              <w:rPr>
                <w:rFonts w:ascii="Arial" w:hAnsi="Arial" w:cs="Arial"/>
                <w:b w:val="0"/>
                <w:bCs w:val="0"/>
                <w:color w:val="000000" w:themeColor="text1"/>
                <w:sz w:val="22"/>
                <w:szCs w:val="22"/>
              </w:rPr>
              <w:t>Género, en su artículo 18.</w:t>
            </w:r>
          </w:p>
          <w:p w14:paraId="00838AB0" w14:textId="77777777" w:rsidR="001F3F4C" w:rsidRPr="009E2EFF" w:rsidRDefault="001F3F4C" w:rsidP="009E2EFF">
            <w:pPr>
              <w:pStyle w:val="Ttulo4"/>
              <w:spacing w:line="276" w:lineRule="auto"/>
              <w:ind w:left="152"/>
              <w:jc w:val="both"/>
              <w:outlineLvl w:val="3"/>
              <w:rPr>
                <w:rFonts w:ascii="Arial" w:hAnsi="Arial" w:cs="Arial"/>
                <w:b w:val="0"/>
                <w:color w:val="000000" w:themeColor="text1"/>
                <w:sz w:val="22"/>
                <w:szCs w:val="22"/>
              </w:rPr>
            </w:pPr>
          </w:p>
          <w:p w14:paraId="62311B5F" w14:textId="77777777" w:rsidR="001F3F4C" w:rsidRDefault="009E2EFF" w:rsidP="009E2EFF">
            <w:pPr>
              <w:pStyle w:val="Ttulo4"/>
              <w:spacing w:line="276" w:lineRule="auto"/>
              <w:ind w:left="152"/>
              <w:jc w:val="both"/>
              <w:outlineLvl w:val="3"/>
              <w:rPr>
                <w:rFonts w:ascii="Arial" w:hAnsi="Arial" w:cs="Arial"/>
                <w:b w:val="0"/>
                <w:color w:val="201D1E"/>
                <w:sz w:val="22"/>
                <w:szCs w:val="22"/>
              </w:rPr>
            </w:pPr>
            <w:r w:rsidRPr="009E2EFF">
              <w:rPr>
                <w:rFonts w:ascii="Arial" w:hAnsi="Arial" w:cs="Arial"/>
                <w:b w:val="0"/>
                <w:color w:val="201D1E"/>
                <w:sz w:val="22"/>
                <w:szCs w:val="22"/>
              </w:rPr>
              <w:t>-Ley 12/2008, de 5 de diciembre, de Servicios Sociales, en cuyo artículo 22, apartado 2.7.1.2, prevé el servicio como un servicio de atención secundaria de acción directa del Gobierno Vasco.</w:t>
            </w:r>
          </w:p>
          <w:p w14:paraId="7596D0BF" w14:textId="312B38DC" w:rsidR="009E2EFF" w:rsidRPr="009E2EFF" w:rsidRDefault="009E2EFF" w:rsidP="009E2EFF">
            <w:pPr>
              <w:pStyle w:val="Ttulo4"/>
              <w:spacing w:line="276" w:lineRule="auto"/>
              <w:ind w:left="152"/>
              <w:jc w:val="both"/>
              <w:outlineLvl w:val="3"/>
              <w:rPr>
                <w:rFonts w:ascii="Arial" w:hAnsi="Arial" w:cs="Arial"/>
                <w:b w:val="0"/>
                <w:color w:val="201D1E"/>
                <w:sz w:val="22"/>
                <w:szCs w:val="22"/>
              </w:rPr>
            </w:pPr>
            <w:r w:rsidRPr="009E2EFF">
              <w:rPr>
                <w:rFonts w:ascii="Arial" w:hAnsi="Arial" w:cs="Arial"/>
                <w:b w:val="0"/>
                <w:color w:val="201D1E"/>
                <w:sz w:val="22"/>
                <w:szCs w:val="22"/>
              </w:rPr>
              <w:t xml:space="preserve"> </w:t>
            </w:r>
          </w:p>
          <w:p w14:paraId="46A095CF" w14:textId="77777777" w:rsidR="009E2EFF" w:rsidRPr="009E2EFF" w:rsidRDefault="009E2EFF" w:rsidP="52F7A78F">
            <w:pPr>
              <w:pStyle w:val="Ttulo4"/>
              <w:spacing w:line="276" w:lineRule="auto"/>
              <w:ind w:left="152"/>
              <w:jc w:val="both"/>
              <w:outlineLvl w:val="3"/>
            </w:pPr>
            <w:r w:rsidRPr="009E2EFF">
              <w:rPr>
                <w:rFonts w:ascii="Arial" w:hAnsi="Arial" w:cs="Arial"/>
                <w:b w:val="0"/>
                <w:bCs w:val="0"/>
                <w:color w:val="201D1E"/>
                <w:sz w:val="22"/>
                <w:szCs w:val="22"/>
              </w:rPr>
              <w:t>-Decreto</w:t>
            </w:r>
            <w:r w:rsidRPr="009E2EFF">
              <w:rPr>
                <w:rFonts w:ascii="Arial" w:hAnsi="Arial" w:cs="Arial"/>
                <w:b w:val="0"/>
                <w:bCs w:val="0"/>
                <w:color w:val="201D1E"/>
                <w:spacing w:val="-8"/>
                <w:sz w:val="22"/>
                <w:szCs w:val="22"/>
              </w:rPr>
              <w:t xml:space="preserve"> </w:t>
            </w:r>
            <w:r w:rsidRPr="009E2EFF">
              <w:rPr>
                <w:rFonts w:ascii="Arial" w:hAnsi="Arial" w:cs="Arial"/>
                <w:b w:val="0"/>
                <w:bCs w:val="0"/>
                <w:color w:val="201D1E"/>
                <w:sz w:val="22"/>
                <w:szCs w:val="22"/>
              </w:rPr>
              <w:t>185/2015,</w:t>
            </w:r>
            <w:r w:rsidRPr="009E2EFF">
              <w:rPr>
                <w:rFonts w:ascii="Arial" w:hAnsi="Arial" w:cs="Arial"/>
                <w:b w:val="0"/>
                <w:bCs w:val="0"/>
                <w:color w:val="201D1E"/>
                <w:spacing w:val="-5"/>
                <w:sz w:val="22"/>
                <w:szCs w:val="22"/>
              </w:rPr>
              <w:t xml:space="preserve"> </w:t>
            </w:r>
            <w:r w:rsidRPr="009E2EFF">
              <w:rPr>
                <w:rFonts w:ascii="Arial" w:hAnsi="Arial" w:cs="Arial"/>
                <w:b w:val="0"/>
                <w:bCs w:val="0"/>
                <w:color w:val="201D1E"/>
                <w:sz w:val="22"/>
                <w:szCs w:val="22"/>
              </w:rPr>
              <w:t>de</w:t>
            </w:r>
            <w:r w:rsidRPr="009E2EFF">
              <w:rPr>
                <w:rFonts w:ascii="Arial" w:hAnsi="Arial" w:cs="Arial"/>
                <w:b w:val="0"/>
                <w:bCs w:val="0"/>
                <w:color w:val="201D1E"/>
                <w:spacing w:val="-10"/>
                <w:sz w:val="22"/>
                <w:szCs w:val="22"/>
              </w:rPr>
              <w:t xml:space="preserve"> </w:t>
            </w:r>
            <w:r w:rsidRPr="009E2EFF">
              <w:rPr>
                <w:rFonts w:ascii="Arial" w:hAnsi="Arial" w:cs="Arial"/>
                <w:b w:val="0"/>
                <w:bCs w:val="0"/>
                <w:color w:val="201D1E"/>
                <w:sz w:val="22"/>
                <w:szCs w:val="22"/>
              </w:rPr>
              <w:t>6</w:t>
            </w:r>
            <w:r w:rsidRPr="009E2EFF">
              <w:rPr>
                <w:rFonts w:ascii="Arial" w:hAnsi="Arial" w:cs="Arial"/>
                <w:b w:val="0"/>
                <w:bCs w:val="0"/>
                <w:color w:val="201D1E"/>
                <w:spacing w:val="-9"/>
                <w:sz w:val="22"/>
                <w:szCs w:val="22"/>
              </w:rPr>
              <w:t xml:space="preserve"> </w:t>
            </w:r>
            <w:r w:rsidRPr="009E2EFF">
              <w:rPr>
                <w:rFonts w:ascii="Arial" w:hAnsi="Arial" w:cs="Arial"/>
                <w:b w:val="0"/>
                <w:bCs w:val="0"/>
                <w:color w:val="201D1E"/>
                <w:sz w:val="22"/>
                <w:szCs w:val="22"/>
              </w:rPr>
              <w:t>de</w:t>
            </w:r>
            <w:r w:rsidRPr="009E2EFF">
              <w:rPr>
                <w:rFonts w:ascii="Arial" w:hAnsi="Arial" w:cs="Arial"/>
                <w:b w:val="0"/>
                <w:bCs w:val="0"/>
                <w:color w:val="201D1E"/>
                <w:spacing w:val="-7"/>
                <w:sz w:val="22"/>
                <w:szCs w:val="22"/>
              </w:rPr>
              <w:t xml:space="preserve"> </w:t>
            </w:r>
            <w:r w:rsidRPr="009E2EFF">
              <w:rPr>
                <w:rFonts w:ascii="Arial" w:hAnsi="Arial" w:cs="Arial"/>
                <w:b w:val="0"/>
                <w:bCs w:val="0"/>
                <w:color w:val="201D1E"/>
                <w:sz w:val="22"/>
                <w:szCs w:val="22"/>
              </w:rPr>
              <w:t>octubre,</w:t>
            </w:r>
            <w:r w:rsidRPr="009E2EFF">
              <w:rPr>
                <w:rFonts w:ascii="Arial" w:hAnsi="Arial" w:cs="Arial"/>
                <w:b w:val="0"/>
                <w:bCs w:val="0"/>
                <w:color w:val="201D1E"/>
                <w:spacing w:val="-8"/>
                <w:sz w:val="22"/>
                <w:szCs w:val="22"/>
              </w:rPr>
              <w:t xml:space="preserve"> </w:t>
            </w:r>
            <w:r w:rsidRPr="009E2EFF">
              <w:rPr>
                <w:rFonts w:ascii="Arial" w:hAnsi="Arial" w:cs="Arial"/>
                <w:b w:val="0"/>
                <w:bCs w:val="0"/>
                <w:color w:val="201D1E"/>
                <w:sz w:val="22"/>
                <w:szCs w:val="22"/>
              </w:rPr>
              <w:t>de</w:t>
            </w:r>
            <w:r w:rsidRPr="009E2EFF">
              <w:rPr>
                <w:rFonts w:ascii="Arial" w:hAnsi="Arial" w:cs="Arial"/>
                <w:b w:val="0"/>
                <w:bCs w:val="0"/>
                <w:color w:val="201D1E"/>
                <w:spacing w:val="-9"/>
                <w:sz w:val="22"/>
                <w:szCs w:val="22"/>
              </w:rPr>
              <w:t xml:space="preserve"> </w:t>
            </w:r>
            <w:r w:rsidRPr="009E2EFF">
              <w:rPr>
                <w:rFonts w:ascii="Arial" w:hAnsi="Arial" w:cs="Arial"/>
                <w:b w:val="0"/>
                <w:bCs w:val="0"/>
                <w:color w:val="201D1E"/>
                <w:sz w:val="22"/>
                <w:szCs w:val="22"/>
              </w:rPr>
              <w:t>cartera</w:t>
            </w:r>
            <w:r w:rsidRPr="009E2EFF">
              <w:rPr>
                <w:rFonts w:ascii="Arial" w:hAnsi="Arial" w:cs="Arial"/>
                <w:b w:val="0"/>
                <w:bCs w:val="0"/>
                <w:color w:val="201D1E"/>
                <w:spacing w:val="-10"/>
                <w:sz w:val="22"/>
                <w:szCs w:val="22"/>
              </w:rPr>
              <w:t xml:space="preserve"> </w:t>
            </w:r>
            <w:r w:rsidRPr="009E2EFF">
              <w:rPr>
                <w:rFonts w:ascii="Arial" w:hAnsi="Arial" w:cs="Arial"/>
                <w:b w:val="0"/>
                <w:bCs w:val="0"/>
                <w:color w:val="201D1E"/>
                <w:sz w:val="22"/>
                <w:szCs w:val="22"/>
              </w:rPr>
              <w:t>de</w:t>
            </w:r>
            <w:r w:rsidRPr="009E2EFF">
              <w:rPr>
                <w:rFonts w:ascii="Arial" w:hAnsi="Arial" w:cs="Arial"/>
                <w:b w:val="0"/>
                <w:bCs w:val="0"/>
                <w:color w:val="201D1E"/>
                <w:spacing w:val="-6"/>
                <w:sz w:val="22"/>
                <w:szCs w:val="22"/>
              </w:rPr>
              <w:t xml:space="preserve"> </w:t>
            </w:r>
            <w:r w:rsidRPr="009E2EFF">
              <w:rPr>
                <w:rFonts w:ascii="Arial" w:hAnsi="Arial" w:cs="Arial"/>
                <w:b w:val="0"/>
                <w:bCs w:val="0"/>
                <w:color w:val="201D1E"/>
                <w:sz w:val="22"/>
                <w:szCs w:val="22"/>
              </w:rPr>
              <w:t>prestaciones</w:t>
            </w:r>
            <w:r w:rsidRPr="009E2EFF">
              <w:rPr>
                <w:rFonts w:ascii="Arial" w:hAnsi="Arial" w:cs="Arial"/>
                <w:b w:val="0"/>
                <w:bCs w:val="0"/>
                <w:color w:val="201D1E"/>
                <w:spacing w:val="-8"/>
                <w:sz w:val="22"/>
                <w:szCs w:val="22"/>
              </w:rPr>
              <w:t xml:space="preserve"> </w:t>
            </w:r>
            <w:r w:rsidRPr="009E2EFF">
              <w:rPr>
                <w:rFonts w:ascii="Arial" w:hAnsi="Arial" w:cs="Arial"/>
                <w:b w:val="0"/>
                <w:bCs w:val="0"/>
                <w:color w:val="201D1E"/>
                <w:sz w:val="22"/>
                <w:szCs w:val="22"/>
              </w:rPr>
              <w:t>y</w:t>
            </w:r>
            <w:r w:rsidRPr="009E2EFF">
              <w:rPr>
                <w:rFonts w:ascii="Arial" w:hAnsi="Arial" w:cs="Arial"/>
                <w:b w:val="0"/>
                <w:bCs w:val="0"/>
                <w:color w:val="201D1E"/>
                <w:spacing w:val="-7"/>
                <w:sz w:val="22"/>
                <w:szCs w:val="22"/>
              </w:rPr>
              <w:t xml:space="preserve"> </w:t>
            </w:r>
            <w:r w:rsidRPr="009E2EFF">
              <w:rPr>
                <w:rFonts w:ascii="Arial" w:hAnsi="Arial" w:cs="Arial"/>
                <w:b w:val="0"/>
                <w:bCs w:val="0"/>
                <w:color w:val="201D1E"/>
                <w:sz w:val="22"/>
                <w:szCs w:val="22"/>
              </w:rPr>
              <w:t>servicios</w:t>
            </w:r>
            <w:r w:rsidRPr="009E2EFF">
              <w:rPr>
                <w:rFonts w:ascii="Arial" w:hAnsi="Arial" w:cs="Arial"/>
                <w:b w:val="0"/>
                <w:bCs w:val="0"/>
                <w:color w:val="201D1E"/>
                <w:spacing w:val="-8"/>
                <w:sz w:val="22"/>
                <w:szCs w:val="22"/>
              </w:rPr>
              <w:t xml:space="preserve"> </w:t>
            </w:r>
            <w:r w:rsidRPr="009E2EFF">
              <w:rPr>
                <w:rFonts w:ascii="Arial" w:hAnsi="Arial" w:cs="Arial"/>
                <w:b w:val="0"/>
                <w:bCs w:val="0"/>
                <w:color w:val="201D1E"/>
                <w:sz w:val="22"/>
                <w:szCs w:val="22"/>
              </w:rPr>
              <w:t>del</w:t>
            </w:r>
            <w:r w:rsidRPr="009E2EFF">
              <w:rPr>
                <w:rFonts w:ascii="Arial" w:hAnsi="Arial" w:cs="Arial"/>
                <w:b w:val="0"/>
                <w:bCs w:val="0"/>
                <w:color w:val="201D1E"/>
                <w:spacing w:val="-9"/>
                <w:sz w:val="22"/>
                <w:szCs w:val="22"/>
              </w:rPr>
              <w:t xml:space="preserve"> </w:t>
            </w:r>
            <w:r w:rsidRPr="009E2EFF">
              <w:rPr>
                <w:rFonts w:ascii="Arial" w:hAnsi="Arial" w:cs="Arial"/>
                <w:b w:val="0"/>
                <w:bCs w:val="0"/>
                <w:color w:val="201D1E"/>
                <w:sz w:val="22"/>
                <w:szCs w:val="22"/>
              </w:rPr>
              <w:t>Sistema</w:t>
            </w:r>
            <w:r w:rsidRPr="009E2EFF">
              <w:rPr>
                <w:rFonts w:ascii="Arial" w:hAnsi="Arial" w:cs="Arial"/>
                <w:b w:val="0"/>
                <w:bCs w:val="0"/>
                <w:color w:val="201D1E"/>
                <w:spacing w:val="-8"/>
                <w:sz w:val="22"/>
                <w:szCs w:val="22"/>
              </w:rPr>
              <w:t xml:space="preserve"> </w:t>
            </w:r>
            <w:r w:rsidRPr="009E2EFF">
              <w:rPr>
                <w:rFonts w:ascii="Arial" w:hAnsi="Arial" w:cs="Arial"/>
                <w:b w:val="0"/>
                <w:bCs w:val="0"/>
                <w:color w:val="201D1E"/>
                <w:sz w:val="22"/>
                <w:szCs w:val="22"/>
              </w:rPr>
              <w:t>Vasco</w:t>
            </w:r>
            <w:r w:rsidRPr="009E2EFF">
              <w:rPr>
                <w:rFonts w:ascii="Arial" w:hAnsi="Arial" w:cs="Arial"/>
                <w:b w:val="0"/>
                <w:bCs w:val="0"/>
                <w:color w:val="201D1E"/>
                <w:spacing w:val="-8"/>
                <w:sz w:val="22"/>
                <w:szCs w:val="22"/>
              </w:rPr>
              <w:t xml:space="preserve"> </w:t>
            </w:r>
            <w:r w:rsidRPr="009E2EFF">
              <w:rPr>
                <w:rFonts w:ascii="Arial" w:hAnsi="Arial" w:cs="Arial"/>
                <w:b w:val="0"/>
                <w:bCs w:val="0"/>
                <w:color w:val="201D1E"/>
                <w:sz w:val="22"/>
                <w:szCs w:val="22"/>
              </w:rPr>
              <w:t>de</w:t>
            </w:r>
            <w:r w:rsidRPr="009E2EFF">
              <w:rPr>
                <w:rFonts w:ascii="Arial" w:hAnsi="Arial" w:cs="Arial"/>
                <w:b w:val="0"/>
                <w:bCs w:val="0"/>
                <w:color w:val="201D1E"/>
                <w:spacing w:val="-9"/>
                <w:sz w:val="22"/>
                <w:szCs w:val="22"/>
              </w:rPr>
              <w:t xml:space="preserve"> </w:t>
            </w:r>
            <w:r w:rsidRPr="009E2EFF">
              <w:rPr>
                <w:rFonts w:ascii="Arial" w:hAnsi="Arial" w:cs="Arial"/>
                <w:b w:val="0"/>
                <w:bCs w:val="0"/>
                <w:color w:val="201D1E"/>
                <w:sz w:val="22"/>
                <w:szCs w:val="22"/>
              </w:rPr>
              <w:t>Servicios</w:t>
            </w:r>
            <w:r w:rsidRPr="009E2EFF">
              <w:rPr>
                <w:rFonts w:ascii="Arial" w:hAnsi="Arial" w:cs="Arial"/>
                <w:b w:val="0"/>
                <w:bCs w:val="0"/>
                <w:color w:val="201D1E"/>
                <w:spacing w:val="1"/>
                <w:sz w:val="22"/>
                <w:szCs w:val="22"/>
              </w:rPr>
              <w:t xml:space="preserve"> </w:t>
            </w:r>
            <w:r w:rsidRPr="009E2EFF">
              <w:rPr>
                <w:rFonts w:ascii="Arial" w:hAnsi="Arial" w:cs="Arial"/>
                <w:b w:val="0"/>
                <w:bCs w:val="0"/>
                <w:color w:val="201D1E"/>
                <w:sz w:val="22"/>
                <w:szCs w:val="22"/>
              </w:rPr>
              <w:t xml:space="preserve">Sociales regula el </w:t>
            </w:r>
            <w:r w:rsidRPr="009E2EFF">
              <w:rPr>
                <w:rFonts w:ascii="Arial" w:hAnsi="Arial" w:cs="Arial"/>
                <w:b w:val="0"/>
                <w:bCs w:val="0"/>
                <w:sz w:val="22"/>
                <w:szCs w:val="22"/>
              </w:rPr>
              <w:t>Servicio de información y atención a mujeres víctimas de violencia doméstica o por razón</w:t>
            </w:r>
            <w:r w:rsidRPr="009E2EFF">
              <w:rPr>
                <w:rFonts w:ascii="Arial" w:hAnsi="Arial" w:cs="Arial"/>
                <w:b w:val="0"/>
                <w:bCs w:val="0"/>
                <w:spacing w:val="1"/>
                <w:sz w:val="22"/>
                <w:szCs w:val="22"/>
              </w:rPr>
              <w:t xml:space="preserve"> </w:t>
            </w:r>
            <w:r w:rsidRPr="009E2EFF">
              <w:rPr>
                <w:rFonts w:ascii="Arial" w:hAnsi="Arial" w:cs="Arial"/>
                <w:b w:val="0"/>
                <w:bCs w:val="0"/>
                <w:sz w:val="22"/>
                <w:szCs w:val="22"/>
              </w:rPr>
              <w:t xml:space="preserve">de sexo (2.7.1.2) como un servicio de competencia del Gobierno Vasco. </w:t>
            </w:r>
          </w:p>
          <w:p w14:paraId="60CA40BB" w14:textId="5AF851B5" w:rsidR="009E2EFF" w:rsidRPr="009E2EFF" w:rsidRDefault="009E2EFF" w:rsidP="52F7A78F">
            <w:pPr>
              <w:pStyle w:val="Ttulo4"/>
              <w:spacing w:line="276" w:lineRule="auto"/>
              <w:ind w:left="152"/>
              <w:jc w:val="both"/>
              <w:outlineLvl w:val="3"/>
              <w:rPr>
                <w:rFonts w:ascii="Arial" w:hAnsi="Arial" w:cs="Arial"/>
                <w:b w:val="0"/>
                <w:bCs w:val="0"/>
                <w:sz w:val="22"/>
                <w:szCs w:val="22"/>
              </w:rPr>
            </w:pPr>
          </w:p>
          <w:p w14:paraId="1AD6A2C1" w14:textId="6634A4F5" w:rsidR="009432EF" w:rsidRPr="009E2EFF" w:rsidRDefault="28B2E05F" w:rsidP="007E02E6">
            <w:pPr>
              <w:pStyle w:val="Ttulo4"/>
              <w:spacing w:line="276" w:lineRule="auto"/>
              <w:ind w:left="152"/>
              <w:jc w:val="both"/>
              <w:outlineLvl w:val="3"/>
              <w:rPr>
                <w:rFonts w:ascii="Arial" w:hAnsi="Arial" w:cs="Arial"/>
                <w:b w:val="0"/>
                <w:sz w:val="22"/>
                <w:szCs w:val="22"/>
              </w:rPr>
            </w:pPr>
            <w:r w:rsidRPr="52F7A78F">
              <w:rPr>
                <w:sz w:val="22"/>
                <w:szCs w:val="22"/>
                <w:lang w:val="es"/>
              </w:rPr>
              <w:t>-</w:t>
            </w:r>
            <w:r w:rsidRPr="52F7A78F">
              <w:rPr>
                <w:rFonts w:ascii="Arial" w:eastAsia="Arial" w:hAnsi="Arial" w:cs="Arial"/>
                <w:b w:val="0"/>
                <w:bCs w:val="0"/>
                <w:sz w:val="22"/>
                <w:szCs w:val="22"/>
                <w:lang w:val="es"/>
              </w:rPr>
              <w:t xml:space="preserve">Decreto Legislativo 1/2023, de 16 de marzo, por el que se aprueba el texto refundido de la Ley para la Igualdad de Mujeres y Hombres y Vidas Libres de Violencia Machista contra las Mujeres, en su artículo 60 </w:t>
            </w:r>
          </w:p>
        </w:tc>
      </w:tr>
      <w:tr w:rsidR="000E3878" w:rsidRPr="00173F44" w14:paraId="1753E562" w14:textId="77777777" w:rsidTr="331C6B3B">
        <w:trPr>
          <w:trHeight w:val="1591"/>
        </w:trPr>
        <w:tc>
          <w:tcPr>
            <w:tcW w:w="1980" w:type="dxa"/>
            <w:shd w:val="clear" w:color="auto" w:fill="DAEEF3" w:themeFill="accent5" w:themeFillTint="33"/>
          </w:tcPr>
          <w:p w14:paraId="00549473" w14:textId="77777777" w:rsidR="000E3878" w:rsidRPr="00173F44" w:rsidRDefault="000E3878" w:rsidP="00507906">
            <w:pPr>
              <w:pStyle w:val="Default"/>
              <w:spacing w:line="276" w:lineRule="auto"/>
              <w:rPr>
                <w:rFonts w:ascii="Arial" w:eastAsia="Times New Roman" w:hAnsi="Arial" w:cs="Arial"/>
                <w:b/>
                <w:color w:val="auto"/>
                <w:sz w:val="22"/>
                <w:szCs w:val="22"/>
              </w:rPr>
            </w:pPr>
            <w:r w:rsidRPr="00173F44">
              <w:rPr>
                <w:rFonts w:ascii="Arial" w:eastAsia="Times New Roman" w:hAnsi="Arial" w:cs="Arial"/>
                <w:b/>
                <w:color w:val="auto"/>
                <w:sz w:val="22"/>
                <w:szCs w:val="22"/>
              </w:rPr>
              <w:lastRenderedPageBreak/>
              <w:t>Problemas que se pretenden solucionar</w:t>
            </w:r>
          </w:p>
        </w:tc>
        <w:tc>
          <w:tcPr>
            <w:tcW w:w="6519" w:type="dxa"/>
            <w:shd w:val="clear" w:color="auto" w:fill="D6E3BC" w:themeFill="accent3" w:themeFillTint="66"/>
          </w:tcPr>
          <w:p w14:paraId="175195E0" w14:textId="77777777" w:rsidR="00A815B2" w:rsidRDefault="500623E7" w:rsidP="00A815B2">
            <w:pPr>
              <w:spacing w:line="259" w:lineRule="auto"/>
              <w:jc w:val="both"/>
              <w:rPr>
                <w:rFonts w:ascii="Arial" w:eastAsia="Arial" w:hAnsi="Arial" w:cs="Arial"/>
                <w:color w:val="000000" w:themeColor="text1"/>
              </w:rPr>
            </w:pPr>
            <w:r w:rsidRPr="58B6BE61">
              <w:rPr>
                <w:rFonts w:ascii="Arial" w:eastAsia="Arial" w:hAnsi="Arial" w:cs="Arial"/>
                <w:color w:val="000000" w:themeColor="text1"/>
              </w:rPr>
              <w:t>El presente Decreto se dicta en virtud de la potestad reglamentaria otorgada al Gobierno Vasco por el artículo 40 de la Ley de Servicios Sociales para la ordenación de los servicios sociales, regulando</w:t>
            </w:r>
            <w:r w:rsidR="005A3692">
              <w:rPr>
                <w:rFonts w:ascii="Arial" w:eastAsia="Arial" w:hAnsi="Arial" w:cs="Arial"/>
                <w:color w:val="000000" w:themeColor="text1"/>
              </w:rPr>
              <w:t xml:space="preserve"> de manera específica</w:t>
            </w:r>
            <w:r w:rsidRPr="58B6BE61">
              <w:rPr>
                <w:rFonts w:ascii="Arial" w:eastAsia="Arial" w:hAnsi="Arial" w:cs="Arial"/>
                <w:color w:val="000000" w:themeColor="text1"/>
              </w:rPr>
              <w:t xml:space="preserve"> los requisitos materiales, funcionales y de personal.</w:t>
            </w:r>
          </w:p>
          <w:p w14:paraId="6514E998" w14:textId="77777777" w:rsidR="00A815B2" w:rsidRDefault="00A815B2" w:rsidP="00A815B2">
            <w:pPr>
              <w:spacing w:line="259" w:lineRule="auto"/>
              <w:jc w:val="both"/>
              <w:rPr>
                <w:rFonts w:ascii="Arial" w:eastAsia="Arial" w:hAnsi="Arial" w:cs="Arial"/>
                <w:color w:val="000000" w:themeColor="text1"/>
              </w:rPr>
            </w:pPr>
          </w:p>
          <w:p w14:paraId="22E25706" w14:textId="096A0EE0" w:rsidR="00A815B2" w:rsidRPr="00A815B2" w:rsidRDefault="00A815B2" w:rsidP="00A815B2">
            <w:pPr>
              <w:spacing w:line="259" w:lineRule="auto"/>
              <w:jc w:val="both"/>
              <w:rPr>
                <w:rFonts w:ascii="Arial" w:eastAsia="Arial" w:hAnsi="Arial" w:cs="Arial"/>
                <w:color w:val="000000" w:themeColor="text1"/>
              </w:rPr>
            </w:pPr>
            <w:r>
              <w:rPr>
                <w:rFonts w:ascii="Arial" w:hAnsi="Arial" w:cs="Arial"/>
              </w:rPr>
              <w:t>E</w:t>
            </w:r>
            <w:r w:rsidRPr="00887F6A">
              <w:rPr>
                <w:rFonts w:ascii="Arial" w:hAnsi="Arial" w:cs="Arial"/>
              </w:rPr>
              <w:t>ste Decreto pretende regular este servicio, con la finalidad d</w:t>
            </w:r>
            <w:r w:rsidR="005418CB">
              <w:rPr>
                <w:rFonts w:ascii="Arial" w:hAnsi="Arial" w:cs="Arial"/>
              </w:rPr>
              <w:t>e garantizar a las personas</w:t>
            </w:r>
            <w:r w:rsidR="00354804">
              <w:rPr>
                <w:rFonts w:ascii="Arial" w:hAnsi="Arial" w:cs="Arial"/>
              </w:rPr>
              <w:t xml:space="preserve"> usuarias</w:t>
            </w:r>
            <w:r w:rsidR="005418CB">
              <w:rPr>
                <w:rFonts w:ascii="Arial" w:hAnsi="Arial" w:cs="Arial"/>
              </w:rPr>
              <w:t xml:space="preserve"> </w:t>
            </w:r>
            <w:r w:rsidRPr="00887F6A">
              <w:rPr>
                <w:rFonts w:ascii="Arial" w:hAnsi="Arial" w:cs="Arial"/>
              </w:rPr>
              <w:t>el derecho a recibir u</w:t>
            </w:r>
            <w:r w:rsidR="00BC359D">
              <w:rPr>
                <w:rFonts w:ascii="Arial" w:hAnsi="Arial" w:cs="Arial"/>
              </w:rPr>
              <w:t>nos</w:t>
            </w:r>
            <w:r w:rsidRPr="00887F6A">
              <w:rPr>
                <w:rFonts w:ascii="Arial" w:hAnsi="Arial" w:cs="Arial"/>
              </w:rPr>
              <w:t xml:space="preserve"> servicios de calidad. Todo ello en consonancia con el artículo 9.1.m) de la </w:t>
            </w:r>
            <w:r>
              <w:rPr>
                <w:rFonts w:ascii="Arial" w:hAnsi="Arial" w:cs="Arial"/>
              </w:rPr>
              <w:t>Ley</w:t>
            </w:r>
            <w:r w:rsidRPr="00887F6A">
              <w:rPr>
                <w:rFonts w:ascii="Arial" w:hAnsi="Arial" w:cs="Arial"/>
              </w:rPr>
              <w:t xml:space="preserve"> de Servicios Sociales y el artículo 11 del Decreto 64/2004, de 6 de abril, por el que se aprueba </w:t>
            </w:r>
            <w:r>
              <w:rPr>
                <w:rFonts w:ascii="Arial" w:hAnsi="Arial" w:cs="Arial"/>
              </w:rPr>
              <w:t xml:space="preserve">la Carta de Derechos y Obligaciones de las personas usuarias y profesionales </w:t>
            </w:r>
            <w:r w:rsidRPr="00887F6A">
              <w:rPr>
                <w:rFonts w:ascii="Arial" w:hAnsi="Arial" w:cs="Arial"/>
              </w:rPr>
              <w:t xml:space="preserve">de los servicios sociales en la </w:t>
            </w:r>
            <w:r>
              <w:rPr>
                <w:rFonts w:ascii="Arial" w:hAnsi="Arial" w:cs="Arial"/>
              </w:rPr>
              <w:t>Comunidad Autónoma de Euskadi</w:t>
            </w:r>
            <w:r w:rsidRPr="00887F6A">
              <w:rPr>
                <w:rFonts w:ascii="Arial" w:hAnsi="Arial" w:cs="Arial"/>
              </w:rPr>
              <w:t xml:space="preserve"> y el régimen de sugerencias y quejas, los cuales establecen el derecho de las personas usuarias de los servicios sociales a la calidad de los servicios y centros a los que tienen acceso, de acuerdo con los requisitos materiales, funcionales y de personal que se determinen reglamentariamente, sin perjuicio de su continuo proceso de revisión y siempre susceptibles de mejora.</w:t>
            </w:r>
          </w:p>
          <w:p w14:paraId="52CB09C7" w14:textId="77777777" w:rsidR="00A815B2" w:rsidRPr="00173F44" w:rsidRDefault="00A815B2" w:rsidP="58B6BE61">
            <w:pPr>
              <w:spacing w:line="259" w:lineRule="auto"/>
              <w:jc w:val="both"/>
              <w:rPr>
                <w:rFonts w:ascii="Arial" w:eastAsia="Arial" w:hAnsi="Arial" w:cs="Arial"/>
                <w:color w:val="000000" w:themeColor="text1"/>
              </w:rPr>
            </w:pPr>
          </w:p>
          <w:p w14:paraId="080DDFEB" w14:textId="49B05E1E" w:rsidR="00DE265C" w:rsidRPr="00173F44" w:rsidRDefault="00DE265C" w:rsidP="4F6C8ABF">
            <w:pPr>
              <w:jc w:val="both"/>
              <w:rPr>
                <w:rFonts w:ascii="Arial" w:eastAsia="Times New Roman" w:hAnsi="Arial" w:cs="Arial"/>
              </w:rPr>
            </w:pPr>
          </w:p>
        </w:tc>
      </w:tr>
      <w:tr w:rsidR="000E3878" w:rsidRPr="00173F44" w14:paraId="032CBB2A" w14:textId="77777777" w:rsidTr="331C6B3B">
        <w:trPr>
          <w:trHeight w:val="1003"/>
        </w:trPr>
        <w:tc>
          <w:tcPr>
            <w:tcW w:w="1980" w:type="dxa"/>
            <w:shd w:val="clear" w:color="auto" w:fill="DAEEF3" w:themeFill="accent5" w:themeFillTint="33"/>
          </w:tcPr>
          <w:p w14:paraId="08939E1F" w14:textId="77777777" w:rsidR="000E3878" w:rsidRPr="00173F44" w:rsidRDefault="000E3878" w:rsidP="005A3692">
            <w:pPr>
              <w:pStyle w:val="Default"/>
              <w:spacing w:line="276" w:lineRule="auto"/>
              <w:jc w:val="both"/>
              <w:rPr>
                <w:rFonts w:ascii="Arial" w:eastAsia="Times New Roman" w:hAnsi="Arial" w:cs="Arial"/>
                <w:b/>
                <w:color w:val="auto"/>
                <w:sz w:val="22"/>
                <w:szCs w:val="22"/>
              </w:rPr>
            </w:pPr>
            <w:r w:rsidRPr="00173F44">
              <w:rPr>
                <w:rFonts w:ascii="Arial" w:eastAsia="Times New Roman" w:hAnsi="Arial" w:cs="Arial"/>
                <w:b/>
                <w:color w:val="auto"/>
                <w:sz w:val="22"/>
                <w:szCs w:val="22"/>
              </w:rPr>
              <w:t>La necesidad y oportunidad de su aprobación</w:t>
            </w:r>
          </w:p>
        </w:tc>
        <w:tc>
          <w:tcPr>
            <w:tcW w:w="6519" w:type="dxa"/>
            <w:shd w:val="clear" w:color="auto" w:fill="D6E3BC" w:themeFill="accent3" w:themeFillTint="66"/>
          </w:tcPr>
          <w:p w14:paraId="29352160" w14:textId="60F0529A" w:rsidR="000E3878" w:rsidRDefault="009E2EFF" w:rsidP="005A3692">
            <w:pPr>
              <w:spacing w:line="259" w:lineRule="auto"/>
              <w:jc w:val="both"/>
              <w:rPr>
                <w:rFonts w:ascii="Arial" w:eastAsia="Times New Roman" w:hAnsi="Arial" w:cs="Arial"/>
              </w:rPr>
            </w:pPr>
            <w:r w:rsidRPr="4F6C8ABF">
              <w:rPr>
                <w:rFonts w:ascii="Arial" w:hAnsi="Arial" w:cs="Arial"/>
                <w:b/>
                <w:bCs/>
              </w:rPr>
              <w:t xml:space="preserve"> </w:t>
            </w:r>
            <w:r w:rsidRPr="00A237EB">
              <w:rPr>
                <w:rFonts w:ascii="Arial" w:hAnsi="Arial" w:cs="Arial"/>
                <w:bCs/>
              </w:rPr>
              <w:t>El servicio de información y atención</w:t>
            </w:r>
            <w:r w:rsidR="009D277E">
              <w:rPr>
                <w:rFonts w:ascii="Arial" w:hAnsi="Arial" w:cs="Arial"/>
                <w:bCs/>
              </w:rPr>
              <w:t xml:space="preserve"> que es objeto del proyecto de norma,</w:t>
            </w:r>
            <w:r w:rsidR="4CD2966F" w:rsidRPr="00A237EB">
              <w:rPr>
                <w:rFonts w:ascii="Arial" w:eastAsia="Times New Roman" w:hAnsi="Arial" w:cs="Arial"/>
              </w:rPr>
              <w:t xml:space="preserve"> es un </w:t>
            </w:r>
            <w:r w:rsidRPr="00A237EB">
              <w:rPr>
                <w:rFonts w:ascii="Arial" w:eastAsia="Times New Roman" w:hAnsi="Arial" w:cs="Arial"/>
              </w:rPr>
              <w:t>servi</w:t>
            </w:r>
            <w:r w:rsidR="09AD1072" w:rsidRPr="00A237EB">
              <w:rPr>
                <w:rFonts w:ascii="Arial" w:eastAsia="Times New Roman" w:hAnsi="Arial" w:cs="Arial"/>
              </w:rPr>
              <w:t xml:space="preserve">cio esencial y fundamental, </w:t>
            </w:r>
            <w:r w:rsidR="009D277E">
              <w:rPr>
                <w:rFonts w:ascii="Arial" w:eastAsia="Times New Roman" w:hAnsi="Arial" w:cs="Arial"/>
              </w:rPr>
              <w:t xml:space="preserve">que supone </w:t>
            </w:r>
            <w:r w:rsidR="09AD1072" w:rsidRPr="00A237EB">
              <w:rPr>
                <w:rFonts w:ascii="Arial" w:eastAsia="Times New Roman" w:hAnsi="Arial" w:cs="Arial"/>
              </w:rPr>
              <w:t>la puerta</w:t>
            </w:r>
            <w:r w:rsidR="09AD1072" w:rsidRPr="4F6C8ABF">
              <w:rPr>
                <w:rFonts w:ascii="Arial" w:eastAsia="Times New Roman" w:hAnsi="Arial" w:cs="Arial"/>
              </w:rPr>
              <w:t xml:space="preserve"> de entrada al sistema de servicios s</w:t>
            </w:r>
            <w:r w:rsidR="009D277E">
              <w:rPr>
                <w:rFonts w:ascii="Arial" w:eastAsia="Times New Roman" w:hAnsi="Arial" w:cs="Arial"/>
              </w:rPr>
              <w:t>ociales de carácter presencial.</w:t>
            </w:r>
          </w:p>
          <w:p w14:paraId="3D43CDE7" w14:textId="18F62607" w:rsidR="005A3692" w:rsidRDefault="005A3692" w:rsidP="005A3692">
            <w:pPr>
              <w:spacing w:line="259" w:lineRule="auto"/>
              <w:jc w:val="both"/>
              <w:rPr>
                <w:rFonts w:ascii="Arial" w:eastAsia="Times New Roman" w:hAnsi="Arial" w:cs="Arial"/>
              </w:rPr>
            </w:pPr>
          </w:p>
          <w:p w14:paraId="361DAA7E" w14:textId="0D81016D" w:rsidR="005A3692" w:rsidRDefault="005A3692" w:rsidP="005A3692">
            <w:pPr>
              <w:spacing w:line="259" w:lineRule="auto"/>
              <w:jc w:val="both"/>
              <w:rPr>
                <w:rFonts w:ascii="Arial" w:eastAsia="Times New Roman" w:hAnsi="Arial" w:cs="Arial"/>
              </w:rPr>
            </w:pPr>
            <w:r>
              <w:rPr>
                <w:rFonts w:ascii="Arial" w:eastAsia="Times New Roman" w:hAnsi="Arial" w:cs="Arial"/>
              </w:rPr>
              <w:t>Se trata de un</w:t>
            </w:r>
            <w:r w:rsidR="007E02E6">
              <w:rPr>
                <w:rFonts w:ascii="Arial" w:eastAsia="Times New Roman" w:hAnsi="Arial" w:cs="Arial"/>
              </w:rPr>
              <w:t xml:space="preserve"> servicio a distancia, telefónico o telemático, </w:t>
            </w:r>
            <w:r>
              <w:rPr>
                <w:rFonts w:ascii="Arial" w:eastAsia="Times New Roman" w:hAnsi="Arial" w:cs="Arial"/>
              </w:rPr>
              <w:t xml:space="preserve">inmediato, confidencial, anónimo, gratuito al que se puede acceder las 24 horas los 365 días del año por parte de las mujeres víctimas de la violencia machista </w:t>
            </w:r>
            <w:r w:rsidR="009D277E">
              <w:rPr>
                <w:rFonts w:ascii="Arial" w:eastAsia="Times New Roman" w:hAnsi="Arial" w:cs="Arial"/>
              </w:rPr>
              <w:t xml:space="preserve">contra las </w:t>
            </w:r>
            <w:proofErr w:type="gramStart"/>
            <w:r w:rsidR="009D277E">
              <w:rPr>
                <w:rFonts w:ascii="Arial" w:eastAsia="Times New Roman" w:hAnsi="Arial" w:cs="Arial"/>
              </w:rPr>
              <w:t>mujeres</w:t>
            </w:r>
            <w:proofErr w:type="gramEnd"/>
            <w:r w:rsidR="009D277E">
              <w:rPr>
                <w:rFonts w:ascii="Arial" w:eastAsia="Times New Roman" w:hAnsi="Arial" w:cs="Arial"/>
              </w:rPr>
              <w:t xml:space="preserve"> así </w:t>
            </w:r>
            <w:r>
              <w:rPr>
                <w:rFonts w:ascii="Arial" w:eastAsia="Times New Roman" w:hAnsi="Arial" w:cs="Arial"/>
              </w:rPr>
              <w:t xml:space="preserve">como por parte de las personas que puedan estar interesadas en obtener información sobre dichas situaciones o sobre las actuaciones que proceden en tales supuestos. </w:t>
            </w:r>
          </w:p>
          <w:p w14:paraId="1DCE01EE" w14:textId="530A08EF" w:rsidR="000E3878" w:rsidRPr="00173F44" w:rsidRDefault="000E3878" w:rsidP="005A3692">
            <w:pPr>
              <w:jc w:val="both"/>
              <w:rPr>
                <w:rFonts w:ascii="Arial" w:eastAsia="Times New Roman" w:hAnsi="Arial" w:cs="Arial"/>
              </w:rPr>
            </w:pPr>
          </w:p>
        </w:tc>
      </w:tr>
      <w:tr w:rsidR="000E3878" w:rsidRPr="00173F44" w14:paraId="5FBDF947" w14:textId="77777777" w:rsidTr="331C6B3B">
        <w:trPr>
          <w:trHeight w:val="2380"/>
        </w:trPr>
        <w:tc>
          <w:tcPr>
            <w:tcW w:w="1980" w:type="dxa"/>
            <w:shd w:val="clear" w:color="auto" w:fill="DAEEF3" w:themeFill="accent5" w:themeFillTint="33"/>
          </w:tcPr>
          <w:p w14:paraId="6614FA78" w14:textId="77777777" w:rsidR="000E3878" w:rsidRPr="00173F44" w:rsidRDefault="000E3878" w:rsidP="000E3878">
            <w:pPr>
              <w:pStyle w:val="Default"/>
              <w:spacing w:line="276" w:lineRule="auto"/>
              <w:rPr>
                <w:rFonts w:ascii="Arial" w:eastAsia="Times New Roman" w:hAnsi="Arial" w:cs="Arial"/>
                <w:color w:val="auto"/>
                <w:sz w:val="22"/>
                <w:szCs w:val="22"/>
              </w:rPr>
            </w:pPr>
            <w:r w:rsidRPr="00173F44">
              <w:rPr>
                <w:rFonts w:ascii="Arial" w:eastAsia="Times New Roman" w:hAnsi="Arial" w:cs="Arial"/>
                <w:b/>
                <w:color w:val="auto"/>
                <w:sz w:val="22"/>
                <w:szCs w:val="22"/>
              </w:rPr>
              <w:t>Los objetivos de la norma</w:t>
            </w:r>
          </w:p>
        </w:tc>
        <w:tc>
          <w:tcPr>
            <w:tcW w:w="6519" w:type="dxa"/>
            <w:shd w:val="clear" w:color="auto" w:fill="D6E3BC" w:themeFill="accent3" w:themeFillTint="66"/>
          </w:tcPr>
          <w:p w14:paraId="47134350" w14:textId="0E126882" w:rsidR="00AF2877" w:rsidRDefault="243D1E20" w:rsidP="58B6BE61">
            <w:pPr>
              <w:spacing w:line="276" w:lineRule="auto"/>
              <w:jc w:val="both"/>
              <w:rPr>
                <w:rFonts w:ascii="Arial" w:eastAsia="Times New Roman" w:hAnsi="Arial" w:cs="Arial"/>
              </w:rPr>
            </w:pPr>
            <w:r w:rsidRPr="58B6BE61">
              <w:rPr>
                <w:rFonts w:ascii="Arial" w:eastAsia="Times New Roman" w:hAnsi="Arial" w:cs="Arial"/>
              </w:rPr>
              <w:t xml:space="preserve">El objetivo de la norma es desarrollar </w:t>
            </w:r>
            <w:r w:rsidR="00AF2877">
              <w:rPr>
                <w:rFonts w:ascii="Arial" w:eastAsia="Times New Roman" w:hAnsi="Arial" w:cs="Arial"/>
              </w:rPr>
              <w:t>el instrumento básico de actuación previsto en relaci</w:t>
            </w:r>
            <w:r w:rsidR="005A3692">
              <w:rPr>
                <w:rFonts w:ascii="Arial" w:eastAsia="Times New Roman" w:hAnsi="Arial" w:cs="Arial"/>
              </w:rPr>
              <w:t>ón al servicio en cuestión en el Decreto 185/2015,</w:t>
            </w:r>
            <w:r w:rsidR="00AF2877">
              <w:rPr>
                <w:rFonts w:ascii="Arial" w:eastAsia="Times New Roman" w:hAnsi="Arial" w:cs="Arial"/>
              </w:rPr>
              <w:t xml:space="preserve"> cuyas previsiones serán complementadas por la regulación específica y detallada que se</w:t>
            </w:r>
            <w:r w:rsidR="005A3692">
              <w:rPr>
                <w:rFonts w:ascii="Arial" w:eastAsia="Times New Roman" w:hAnsi="Arial" w:cs="Arial"/>
              </w:rPr>
              <w:t xml:space="preserve"> va a</w:t>
            </w:r>
            <w:r w:rsidR="00AF2877">
              <w:rPr>
                <w:rFonts w:ascii="Arial" w:eastAsia="Times New Roman" w:hAnsi="Arial" w:cs="Arial"/>
              </w:rPr>
              <w:t xml:space="preserve"> desarrollar a través del proyecto de decreto en relación a los requisitos materiales, funcionales y de personal.  </w:t>
            </w:r>
          </w:p>
          <w:p w14:paraId="6402EFFF" w14:textId="6AA4783F" w:rsidR="001F3F4C" w:rsidRPr="00173F44" w:rsidRDefault="001F3F4C" w:rsidP="58B6BE61">
            <w:pPr>
              <w:spacing w:line="276" w:lineRule="auto"/>
              <w:jc w:val="both"/>
              <w:rPr>
                <w:rFonts w:ascii="Arial" w:eastAsia="Times New Roman" w:hAnsi="Arial" w:cs="Arial"/>
              </w:rPr>
            </w:pPr>
          </w:p>
        </w:tc>
      </w:tr>
      <w:tr w:rsidR="000E3878" w:rsidRPr="00507906" w14:paraId="55F5EBAD" w14:textId="77777777" w:rsidTr="331C6B3B">
        <w:trPr>
          <w:trHeight w:val="1376"/>
        </w:trPr>
        <w:tc>
          <w:tcPr>
            <w:tcW w:w="1980" w:type="dxa"/>
            <w:shd w:val="clear" w:color="auto" w:fill="DAEEF3" w:themeFill="accent5" w:themeFillTint="33"/>
          </w:tcPr>
          <w:p w14:paraId="16110B5C" w14:textId="77777777" w:rsidR="000E3878" w:rsidRPr="001F3F4C" w:rsidRDefault="000E3878" w:rsidP="001F3F4C">
            <w:pPr>
              <w:pStyle w:val="Default"/>
              <w:spacing w:line="276" w:lineRule="auto"/>
              <w:jc w:val="both"/>
              <w:rPr>
                <w:rFonts w:ascii="Arial" w:eastAsia="Times New Roman" w:hAnsi="Arial" w:cs="Arial"/>
                <w:b/>
                <w:color w:val="auto"/>
                <w:sz w:val="22"/>
                <w:szCs w:val="22"/>
              </w:rPr>
            </w:pPr>
            <w:r w:rsidRPr="001F3F4C">
              <w:rPr>
                <w:rFonts w:ascii="Arial" w:eastAsia="Times New Roman" w:hAnsi="Arial" w:cs="Arial"/>
                <w:b/>
                <w:color w:val="auto"/>
                <w:sz w:val="22"/>
                <w:szCs w:val="22"/>
              </w:rPr>
              <w:t>Las posibles soluciones alternativas regulatorias y no regulatorias</w:t>
            </w:r>
          </w:p>
        </w:tc>
        <w:tc>
          <w:tcPr>
            <w:tcW w:w="6519" w:type="dxa"/>
            <w:shd w:val="clear" w:color="auto" w:fill="D6E3BC" w:themeFill="accent3" w:themeFillTint="66"/>
          </w:tcPr>
          <w:p w14:paraId="2DA8873B" w14:textId="77777777" w:rsidR="000E3878" w:rsidRDefault="3BCDDF86" w:rsidP="00BC359D">
            <w:pPr>
              <w:pStyle w:val="Default"/>
              <w:spacing w:line="276" w:lineRule="auto"/>
              <w:jc w:val="both"/>
              <w:rPr>
                <w:rFonts w:ascii="Arial" w:eastAsia="Calibri" w:hAnsi="Arial" w:cs="Arial"/>
                <w:sz w:val="22"/>
                <w:szCs w:val="22"/>
              </w:rPr>
            </w:pPr>
            <w:r w:rsidRPr="001F3F4C">
              <w:rPr>
                <w:rFonts w:ascii="Arial" w:eastAsia="Calibri" w:hAnsi="Arial" w:cs="Arial"/>
                <w:sz w:val="22"/>
                <w:szCs w:val="22"/>
              </w:rPr>
              <w:t>En tal contexto, la elaboración de una disposición</w:t>
            </w:r>
            <w:r w:rsidR="005A3692">
              <w:rPr>
                <w:rFonts w:ascii="Arial" w:eastAsia="Calibri" w:hAnsi="Arial" w:cs="Arial"/>
                <w:sz w:val="22"/>
                <w:szCs w:val="22"/>
              </w:rPr>
              <w:t xml:space="preserve"> normativa </w:t>
            </w:r>
            <w:r w:rsidR="007E02E6">
              <w:rPr>
                <w:rFonts w:ascii="Arial" w:eastAsia="Calibri" w:hAnsi="Arial" w:cs="Arial"/>
                <w:sz w:val="22"/>
                <w:szCs w:val="22"/>
              </w:rPr>
              <w:t xml:space="preserve">de carácter general, </w:t>
            </w:r>
            <w:r w:rsidRPr="001F3F4C">
              <w:rPr>
                <w:rFonts w:ascii="Arial" w:eastAsia="Calibri" w:hAnsi="Arial" w:cs="Arial"/>
                <w:sz w:val="22"/>
                <w:szCs w:val="22"/>
              </w:rPr>
              <w:t xml:space="preserve">se presenta como inexcusable </w:t>
            </w:r>
            <w:r w:rsidR="00D95B1C" w:rsidRPr="001F3F4C">
              <w:rPr>
                <w:rFonts w:ascii="Arial" w:eastAsia="Calibri" w:hAnsi="Arial" w:cs="Arial"/>
                <w:sz w:val="22"/>
                <w:szCs w:val="22"/>
              </w:rPr>
              <w:t xml:space="preserve">para ofrecer un marco jurídico estable y con garantías de calidad para las personas destinatarias del mismo. </w:t>
            </w:r>
          </w:p>
          <w:p w14:paraId="0DE1CD30" w14:textId="77777777" w:rsidR="00354804" w:rsidRDefault="00354804" w:rsidP="00BC359D">
            <w:pPr>
              <w:pStyle w:val="Default"/>
              <w:spacing w:line="276" w:lineRule="auto"/>
              <w:jc w:val="both"/>
              <w:rPr>
                <w:rFonts w:ascii="Arial" w:eastAsia="Calibri" w:hAnsi="Arial" w:cs="Arial"/>
                <w:sz w:val="22"/>
                <w:szCs w:val="22"/>
              </w:rPr>
            </w:pPr>
          </w:p>
          <w:p w14:paraId="03E727FE" w14:textId="6BE6BCB1" w:rsidR="00354804" w:rsidRPr="001F3F4C" w:rsidRDefault="00354804" w:rsidP="00BC359D">
            <w:pPr>
              <w:pStyle w:val="Default"/>
              <w:spacing w:line="276" w:lineRule="auto"/>
              <w:jc w:val="both"/>
              <w:rPr>
                <w:rFonts w:ascii="Arial" w:eastAsia="Calibri" w:hAnsi="Arial" w:cs="Arial"/>
                <w:sz w:val="22"/>
                <w:szCs w:val="22"/>
              </w:rPr>
            </w:pPr>
          </w:p>
        </w:tc>
      </w:tr>
    </w:tbl>
    <w:p w14:paraId="395B9ECE" w14:textId="77777777" w:rsidR="00E05A09" w:rsidRPr="0008197A" w:rsidRDefault="00E05A09" w:rsidP="00E05A09">
      <w:pPr>
        <w:pStyle w:val="Default"/>
        <w:spacing w:before="100" w:beforeAutospacing="1" w:after="100" w:afterAutospacing="1" w:line="23" w:lineRule="atLeast"/>
        <w:rPr>
          <w:rFonts w:ascii="Arial" w:eastAsia="Times New Roman" w:hAnsi="Arial" w:cs="Arial"/>
          <w:b/>
          <w:color w:val="FF0000"/>
          <w:sz w:val="22"/>
          <w:szCs w:val="22"/>
        </w:rPr>
      </w:pPr>
      <w:bookmarkStart w:id="0" w:name="_GoBack"/>
      <w:bookmarkEnd w:id="0"/>
    </w:p>
    <w:sectPr w:rsidR="00E05A09" w:rsidRPr="0008197A" w:rsidSect="0026781D">
      <w:headerReference w:type="default" r:id="rId11"/>
      <w:footerReference w:type="default" r:id="rId12"/>
      <w:head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69A9" w14:textId="77777777" w:rsidR="00556E0D" w:rsidRDefault="00556E0D" w:rsidP="0080292C">
      <w:pPr>
        <w:spacing w:after="0" w:line="240" w:lineRule="auto"/>
      </w:pPr>
      <w:r>
        <w:separator/>
      </w:r>
    </w:p>
  </w:endnote>
  <w:endnote w:type="continuationSeparator" w:id="0">
    <w:p w14:paraId="79784570" w14:textId="77777777" w:rsidR="00556E0D" w:rsidRDefault="00556E0D" w:rsidP="0080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24913"/>
      <w:docPartObj>
        <w:docPartGallery w:val="Page Numbers (Bottom of Page)"/>
        <w:docPartUnique/>
      </w:docPartObj>
    </w:sdtPr>
    <w:sdtEndPr/>
    <w:sdtContent>
      <w:p w14:paraId="493E9DBA" w14:textId="3CEE958D" w:rsidR="00826CA1" w:rsidRDefault="00826CA1">
        <w:pPr>
          <w:pStyle w:val="Piedepgina"/>
          <w:jc w:val="right"/>
        </w:pPr>
        <w:r>
          <w:fldChar w:fldCharType="begin"/>
        </w:r>
        <w:r>
          <w:instrText>PAGE   \* MERGEFORMAT</w:instrText>
        </w:r>
        <w:r>
          <w:fldChar w:fldCharType="separate"/>
        </w:r>
        <w:r w:rsidR="00A01AE6">
          <w:rPr>
            <w:noProof/>
          </w:rPr>
          <w:t>2</w:t>
        </w:r>
        <w:r>
          <w:fldChar w:fldCharType="end"/>
        </w:r>
      </w:p>
    </w:sdtContent>
  </w:sdt>
  <w:p w14:paraId="0235CFE7" w14:textId="77777777" w:rsidR="00826CA1" w:rsidRDefault="00826C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7E02" w14:textId="77777777" w:rsidR="00556E0D" w:rsidRDefault="00556E0D" w:rsidP="0080292C">
      <w:pPr>
        <w:spacing w:after="0" w:line="240" w:lineRule="auto"/>
      </w:pPr>
      <w:r>
        <w:separator/>
      </w:r>
    </w:p>
  </w:footnote>
  <w:footnote w:type="continuationSeparator" w:id="0">
    <w:p w14:paraId="068D6C90" w14:textId="77777777" w:rsidR="00556E0D" w:rsidRDefault="00556E0D" w:rsidP="0080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A0E5" w14:textId="77777777" w:rsidR="0026781D" w:rsidRDefault="0026781D" w:rsidP="0026781D">
    <w:pPr>
      <w:pStyle w:val="Encabezado"/>
      <w:jc w:val="center"/>
    </w:pPr>
    <w:r>
      <w:object w:dxaOrig="11549" w:dyaOrig="1410" w14:anchorId="3C22E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8pt;height:24.2pt" filled="t">
          <v:fill color2="black"/>
          <v:imagedata r:id="rId1" o:title=""/>
        </v:shape>
        <o:OLEObject Type="Embed" ProgID="Imagen" ShapeID="_x0000_i1025" DrawAspect="Content" ObjectID="_1761983491" r:id="rId2"/>
      </w:object>
    </w:r>
  </w:p>
  <w:p w14:paraId="52B17F4D" w14:textId="77777777" w:rsidR="00310CFB" w:rsidRDefault="00310CFB" w:rsidP="00310CFB">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B7A2" w14:textId="77777777" w:rsidR="0026781D" w:rsidRDefault="0026781D" w:rsidP="0026781D">
    <w:pPr>
      <w:pStyle w:val="Encabezado"/>
      <w:jc w:val="center"/>
    </w:pPr>
    <w:r w:rsidRPr="00310CFB">
      <w:rPr>
        <w:rFonts w:ascii="Arial" w:hAnsi="Arial"/>
        <w:noProof/>
        <w:sz w:val="16"/>
        <w:lang w:val="eu-ES" w:eastAsia="eu-ES"/>
      </w:rPr>
      <w:drawing>
        <wp:inline distT="0" distB="0" distL="0" distR="0" wp14:anchorId="4A7E9A57" wp14:editId="75F3E94C">
          <wp:extent cx="3771195" cy="4495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195" cy="449580"/>
                  </a:xfrm>
                  <a:prstGeom prst="rect">
                    <a:avLst/>
                  </a:prstGeom>
                  <a:noFill/>
                  <a:ln>
                    <a:noFill/>
                  </a:ln>
                </pic:spPr>
              </pic:pic>
            </a:graphicData>
          </a:graphic>
        </wp:inline>
      </w:drawing>
    </w:r>
  </w:p>
  <w:p w14:paraId="0C365E44" w14:textId="77777777" w:rsidR="0026781D" w:rsidRDefault="002678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DE2"/>
    <w:multiLevelType w:val="hybridMultilevel"/>
    <w:tmpl w:val="C8F05466"/>
    <w:lvl w:ilvl="0" w:tplc="C84A433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107923E7"/>
    <w:multiLevelType w:val="hybridMultilevel"/>
    <w:tmpl w:val="9C306172"/>
    <w:lvl w:ilvl="0" w:tplc="A4665AAA">
      <w:numFmt w:val="bullet"/>
      <w:lvlText w:val="-"/>
      <w:lvlJc w:val="left"/>
      <w:pPr>
        <w:ind w:left="512" w:hanging="360"/>
      </w:pPr>
      <w:rPr>
        <w:rFonts w:ascii="Calibri" w:eastAsia="Calibri" w:hAnsi="Calibri" w:cs="Calibri" w:hint="default"/>
      </w:rPr>
    </w:lvl>
    <w:lvl w:ilvl="1" w:tplc="0C0A0003" w:tentative="1">
      <w:start w:val="1"/>
      <w:numFmt w:val="bullet"/>
      <w:lvlText w:val="o"/>
      <w:lvlJc w:val="left"/>
      <w:pPr>
        <w:ind w:left="1232" w:hanging="360"/>
      </w:pPr>
      <w:rPr>
        <w:rFonts w:ascii="Courier New" w:hAnsi="Courier New" w:cs="Courier New" w:hint="default"/>
      </w:rPr>
    </w:lvl>
    <w:lvl w:ilvl="2" w:tplc="0C0A0005" w:tentative="1">
      <w:start w:val="1"/>
      <w:numFmt w:val="bullet"/>
      <w:lvlText w:val=""/>
      <w:lvlJc w:val="left"/>
      <w:pPr>
        <w:ind w:left="1952" w:hanging="360"/>
      </w:pPr>
      <w:rPr>
        <w:rFonts w:ascii="Wingdings" w:hAnsi="Wingdings" w:hint="default"/>
      </w:rPr>
    </w:lvl>
    <w:lvl w:ilvl="3" w:tplc="0C0A0001" w:tentative="1">
      <w:start w:val="1"/>
      <w:numFmt w:val="bullet"/>
      <w:lvlText w:val=""/>
      <w:lvlJc w:val="left"/>
      <w:pPr>
        <w:ind w:left="2672" w:hanging="360"/>
      </w:pPr>
      <w:rPr>
        <w:rFonts w:ascii="Symbol" w:hAnsi="Symbol" w:hint="default"/>
      </w:rPr>
    </w:lvl>
    <w:lvl w:ilvl="4" w:tplc="0C0A0003" w:tentative="1">
      <w:start w:val="1"/>
      <w:numFmt w:val="bullet"/>
      <w:lvlText w:val="o"/>
      <w:lvlJc w:val="left"/>
      <w:pPr>
        <w:ind w:left="3392" w:hanging="360"/>
      </w:pPr>
      <w:rPr>
        <w:rFonts w:ascii="Courier New" w:hAnsi="Courier New" w:cs="Courier New" w:hint="default"/>
      </w:rPr>
    </w:lvl>
    <w:lvl w:ilvl="5" w:tplc="0C0A0005" w:tentative="1">
      <w:start w:val="1"/>
      <w:numFmt w:val="bullet"/>
      <w:lvlText w:val=""/>
      <w:lvlJc w:val="left"/>
      <w:pPr>
        <w:ind w:left="4112" w:hanging="360"/>
      </w:pPr>
      <w:rPr>
        <w:rFonts w:ascii="Wingdings" w:hAnsi="Wingdings" w:hint="default"/>
      </w:rPr>
    </w:lvl>
    <w:lvl w:ilvl="6" w:tplc="0C0A0001" w:tentative="1">
      <w:start w:val="1"/>
      <w:numFmt w:val="bullet"/>
      <w:lvlText w:val=""/>
      <w:lvlJc w:val="left"/>
      <w:pPr>
        <w:ind w:left="4832" w:hanging="360"/>
      </w:pPr>
      <w:rPr>
        <w:rFonts w:ascii="Symbol" w:hAnsi="Symbol" w:hint="default"/>
      </w:rPr>
    </w:lvl>
    <w:lvl w:ilvl="7" w:tplc="0C0A0003" w:tentative="1">
      <w:start w:val="1"/>
      <w:numFmt w:val="bullet"/>
      <w:lvlText w:val="o"/>
      <w:lvlJc w:val="left"/>
      <w:pPr>
        <w:ind w:left="5552" w:hanging="360"/>
      </w:pPr>
      <w:rPr>
        <w:rFonts w:ascii="Courier New" w:hAnsi="Courier New" w:cs="Courier New" w:hint="default"/>
      </w:rPr>
    </w:lvl>
    <w:lvl w:ilvl="8" w:tplc="0C0A0005" w:tentative="1">
      <w:start w:val="1"/>
      <w:numFmt w:val="bullet"/>
      <w:lvlText w:val=""/>
      <w:lvlJc w:val="left"/>
      <w:pPr>
        <w:ind w:left="6272" w:hanging="360"/>
      </w:pPr>
      <w:rPr>
        <w:rFonts w:ascii="Wingdings" w:hAnsi="Wingdings" w:hint="default"/>
      </w:rPr>
    </w:lvl>
  </w:abstractNum>
  <w:abstractNum w:abstractNumId="2" w15:restartNumberingAfterBreak="0">
    <w:nsid w:val="16B272BD"/>
    <w:multiLevelType w:val="hybridMultilevel"/>
    <w:tmpl w:val="34D05888"/>
    <w:lvl w:ilvl="0" w:tplc="AC3C2204">
      <w:start w:val="1"/>
      <w:numFmt w:val="decimal"/>
      <w:lvlText w:val="%1-"/>
      <w:lvlJc w:val="left"/>
      <w:pPr>
        <w:ind w:left="2771"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 w15:restartNumberingAfterBreak="0">
    <w:nsid w:val="1EC76B40"/>
    <w:multiLevelType w:val="hybridMultilevel"/>
    <w:tmpl w:val="883E5A8C"/>
    <w:lvl w:ilvl="0" w:tplc="1AA819E2">
      <w:start w:val="1"/>
      <w:numFmt w:val="bullet"/>
      <w:lvlText w:val=""/>
      <w:lvlJc w:val="left"/>
      <w:pPr>
        <w:tabs>
          <w:tab w:val="num" w:pos="720"/>
        </w:tabs>
        <w:ind w:left="720" w:hanging="360"/>
      </w:pPr>
      <w:rPr>
        <w:rFonts w:ascii="Symbol" w:hAnsi="Symbol" w:hint="default"/>
      </w:rPr>
    </w:lvl>
    <w:lvl w:ilvl="1" w:tplc="7B560260">
      <w:start w:val="453"/>
      <w:numFmt w:val="bullet"/>
      <w:lvlText w:val=""/>
      <w:lvlJc w:val="left"/>
      <w:pPr>
        <w:tabs>
          <w:tab w:val="num" w:pos="1440"/>
        </w:tabs>
        <w:ind w:left="1440" w:hanging="360"/>
      </w:pPr>
      <w:rPr>
        <w:rFonts w:ascii="Symbol" w:hAnsi="Symbol" w:hint="default"/>
      </w:rPr>
    </w:lvl>
    <w:lvl w:ilvl="2" w:tplc="6980CFA2" w:tentative="1">
      <w:start w:val="1"/>
      <w:numFmt w:val="bullet"/>
      <w:lvlText w:val=""/>
      <w:lvlJc w:val="left"/>
      <w:pPr>
        <w:tabs>
          <w:tab w:val="num" w:pos="2160"/>
        </w:tabs>
        <w:ind w:left="2160" w:hanging="360"/>
      </w:pPr>
      <w:rPr>
        <w:rFonts w:ascii="Symbol" w:hAnsi="Symbol" w:hint="default"/>
      </w:rPr>
    </w:lvl>
    <w:lvl w:ilvl="3" w:tplc="05B8A5F0" w:tentative="1">
      <w:start w:val="1"/>
      <w:numFmt w:val="bullet"/>
      <w:lvlText w:val=""/>
      <w:lvlJc w:val="left"/>
      <w:pPr>
        <w:tabs>
          <w:tab w:val="num" w:pos="2880"/>
        </w:tabs>
        <w:ind w:left="2880" w:hanging="360"/>
      </w:pPr>
      <w:rPr>
        <w:rFonts w:ascii="Symbol" w:hAnsi="Symbol" w:hint="default"/>
      </w:rPr>
    </w:lvl>
    <w:lvl w:ilvl="4" w:tplc="957C44A6" w:tentative="1">
      <w:start w:val="1"/>
      <w:numFmt w:val="bullet"/>
      <w:lvlText w:val=""/>
      <w:lvlJc w:val="left"/>
      <w:pPr>
        <w:tabs>
          <w:tab w:val="num" w:pos="3600"/>
        </w:tabs>
        <w:ind w:left="3600" w:hanging="360"/>
      </w:pPr>
      <w:rPr>
        <w:rFonts w:ascii="Symbol" w:hAnsi="Symbol" w:hint="default"/>
      </w:rPr>
    </w:lvl>
    <w:lvl w:ilvl="5" w:tplc="13621176" w:tentative="1">
      <w:start w:val="1"/>
      <w:numFmt w:val="bullet"/>
      <w:lvlText w:val=""/>
      <w:lvlJc w:val="left"/>
      <w:pPr>
        <w:tabs>
          <w:tab w:val="num" w:pos="4320"/>
        </w:tabs>
        <w:ind w:left="4320" w:hanging="360"/>
      </w:pPr>
      <w:rPr>
        <w:rFonts w:ascii="Symbol" w:hAnsi="Symbol" w:hint="default"/>
      </w:rPr>
    </w:lvl>
    <w:lvl w:ilvl="6" w:tplc="1EECA6D6" w:tentative="1">
      <w:start w:val="1"/>
      <w:numFmt w:val="bullet"/>
      <w:lvlText w:val=""/>
      <w:lvlJc w:val="left"/>
      <w:pPr>
        <w:tabs>
          <w:tab w:val="num" w:pos="5040"/>
        </w:tabs>
        <w:ind w:left="5040" w:hanging="360"/>
      </w:pPr>
      <w:rPr>
        <w:rFonts w:ascii="Symbol" w:hAnsi="Symbol" w:hint="default"/>
      </w:rPr>
    </w:lvl>
    <w:lvl w:ilvl="7" w:tplc="F7AC120A" w:tentative="1">
      <w:start w:val="1"/>
      <w:numFmt w:val="bullet"/>
      <w:lvlText w:val=""/>
      <w:lvlJc w:val="left"/>
      <w:pPr>
        <w:tabs>
          <w:tab w:val="num" w:pos="5760"/>
        </w:tabs>
        <w:ind w:left="5760" w:hanging="360"/>
      </w:pPr>
      <w:rPr>
        <w:rFonts w:ascii="Symbol" w:hAnsi="Symbol" w:hint="default"/>
      </w:rPr>
    </w:lvl>
    <w:lvl w:ilvl="8" w:tplc="7C50863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2E2105"/>
    <w:multiLevelType w:val="hybridMultilevel"/>
    <w:tmpl w:val="04162C5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6A004010"/>
    <w:multiLevelType w:val="hybridMultilevel"/>
    <w:tmpl w:val="DF381536"/>
    <w:lvl w:ilvl="0" w:tplc="0010A2C6">
      <w:start w:val="1"/>
      <w:numFmt w:val="lowerLetter"/>
      <w:lvlText w:val="%1)"/>
      <w:lvlJc w:val="left"/>
      <w:pPr>
        <w:ind w:left="1352" w:hanging="360"/>
      </w:pPr>
      <w:rPr>
        <w:rFonts w:hint="default"/>
        <w:color w:val="auto"/>
      </w:rPr>
    </w:lvl>
    <w:lvl w:ilvl="1" w:tplc="042D0019" w:tentative="1">
      <w:start w:val="1"/>
      <w:numFmt w:val="lowerLetter"/>
      <w:lvlText w:val="%2."/>
      <w:lvlJc w:val="left"/>
      <w:pPr>
        <w:ind w:left="1647" w:hanging="360"/>
      </w:pPr>
    </w:lvl>
    <w:lvl w:ilvl="2" w:tplc="042D001B" w:tentative="1">
      <w:start w:val="1"/>
      <w:numFmt w:val="lowerRoman"/>
      <w:lvlText w:val="%3."/>
      <w:lvlJc w:val="right"/>
      <w:pPr>
        <w:ind w:left="2367" w:hanging="180"/>
      </w:pPr>
    </w:lvl>
    <w:lvl w:ilvl="3" w:tplc="042D000F" w:tentative="1">
      <w:start w:val="1"/>
      <w:numFmt w:val="decimal"/>
      <w:lvlText w:val="%4."/>
      <w:lvlJc w:val="left"/>
      <w:pPr>
        <w:ind w:left="3087" w:hanging="360"/>
      </w:pPr>
    </w:lvl>
    <w:lvl w:ilvl="4" w:tplc="042D0019" w:tentative="1">
      <w:start w:val="1"/>
      <w:numFmt w:val="lowerLetter"/>
      <w:lvlText w:val="%5."/>
      <w:lvlJc w:val="left"/>
      <w:pPr>
        <w:ind w:left="3807" w:hanging="360"/>
      </w:pPr>
    </w:lvl>
    <w:lvl w:ilvl="5" w:tplc="042D001B" w:tentative="1">
      <w:start w:val="1"/>
      <w:numFmt w:val="lowerRoman"/>
      <w:lvlText w:val="%6."/>
      <w:lvlJc w:val="right"/>
      <w:pPr>
        <w:ind w:left="4527" w:hanging="180"/>
      </w:pPr>
    </w:lvl>
    <w:lvl w:ilvl="6" w:tplc="042D000F" w:tentative="1">
      <w:start w:val="1"/>
      <w:numFmt w:val="decimal"/>
      <w:lvlText w:val="%7."/>
      <w:lvlJc w:val="left"/>
      <w:pPr>
        <w:ind w:left="5247" w:hanging="360"/>
      </w:pPr>
    </w:lvl>
    <w:lvl w:ilvl="7" w:tplc="042D0019" w:tentative="1">
      <w:start w:val="1"/>
      <w:numFmt w:val="lowerLetter"/>
      <w:lvlText w:val="%8."/>
      <w:lvlJc w:val="left"/>
      <w:pPr>
        <w:ind w:left="5967" w:hanging="360"/>
      </w:pPr>
    </w:lvl>
    <w:lvl w:ilvl="8" w:tplc="042D001B" w:tentative="1">
      <w:start w:val="1"/>
      <w:numFmt w:val="lowerRoman"/>
      <w:lvlText w:val="%9."/>
      <w:lvlJc w:val="right"/>
      <w:pPr>
        <w:ind w:left="6687" w:hanging="180"/>
      </w:pPr>
    </w:lvl>
  </w:abstractNum>
  <w:abstractNum w:abstractNumId="6" w15:restartNumberingAfterBreak="0">
    <w:nsid w:val="6EA91FA0"/>
    <w:multiLevelType w:val="hybridMultilevel"/>
    <w:tmpl w:val="5D3073B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F4"/>
    <w:rsid w:val="00013ECC"/>
    <w:rsid w:val="000142ED"/>
    <w:rsid w:val="000227B5"/>
    <w:rsid w:val="00031993"/>
    <w:rsid w:val="00034798"/>
    <w:rsid w:val="00037930"/>
    <w:rsid w:val="00053AE8"/>
    <w:rsid w:val="00060DA9"/>
    <w:rsid w:val="00064C0E"/>
    <w:rsid w:val="00071937"/>
    <w:rsid w:val="0008197A"/>
    <w:rsid w:val="00081E9B"/>
    <w:rsid w:val="000836C1"/>
    <w:rsid w:val="0008713E"/>
    <w:rsid w:val="000909B6"/>
    <w:rsid w:val="000940B9"/>
    <w:rsid w:val="00096353"/>
    <w:rsid w:val="000A1E6B"/>
    <w:rsid w:val="000A24B6"/>
    <w:rsid w:val="000B7A1A"/>
    <w:rsid w:val="000C0FBB"/>
    <w:rsid w:val="000C4D19"/>
    <w:rsid w:val="000D120C"/>
    <w:rsid w:val="000D68BA"/>
    <w:rsid w:val="000E3878"/>
    <w:rsid w:val="000F5F30"/>
    <w:rsid w:val="00100DD6"/>
    <w:rsid w:val="00103799"/>
    <w:rsid w:val="00103891"/>
    <w:rsid w:val="0011416F"/>
    <w:rsid w:val="00115E4A"/>
    <w:rsid w:val="0012092F"/>
    <w:rsid w:val="001278BF"/>
    <w:rsid w:val="00134028"/>
    <w:rsid w:val="001415A8"/>
    <w:rsid w:val="001417DE"/>
    <w:rsid w:val="001639C4"/>
    <w:rsid w:val="001650A5"/>
    <w:rsid w:val="00170392"/>
    <w:rsid w:val="00173E41"/>
    <w:rsid w:val="00173F44"/>
    <w:rsid w:val="00194C10"/>
    <w:rsid w:val="001A390C"/>
    <w:rsid w:val="001B226C"/>
    <w:rsid w:val="001B3A1D"/>
    <w:rsid w:val="001B6414"/>
    <w:rsid w:val="001C564C"/>
    <w:rsid w:val="001C5B58"/>
    <w:rsid w:val="001C7B4D"/>
    <w:rsid w:val="001F3F4C"/>
    <w:rsid w:val="001F5C15"/>
    <w:rsid w:val="001F7723"/>
    <w:rsid w:val="002050C5"/>
    <w:rsid w:val="00207EDF"/>
    <w:rsid w:val="00226A44"/>
    <w:rsid w:val="00237C97"/>
    <w:rsid w:val="00250AEE"/>
    <w:rsid w:val="0025576C"/>
    <w:rsid w:val="0026228C"/>
    <w:rsid w:val="00262619"/>
    <w:rsid w:val="0026764F"/>
    <w:rsid w:val="0026781D"/>
    <w:rsid w:val="0028306D"/>
    <w:rsid w:val="002A0B87"/>
    <w:rsid w:val="002A1248"/>
    <w:rsid w:val="002B7CD5"/>
    <w:rsid w:val="002C632D"/>
    <w:rsid w:val="002D2675"/>
    <w:rsid w:val="002D5AEE"/>
    <w:rsid w:val="00310CFB"/>
    <w:rsid w:val="00311E9B"/>
    <w:rsid w:val="00314261"/>
    <w:rsid w:val="00351A1E"/>
    <w:rsid w:val="00354804"/>
    <w:rsid w:val="003639A7"/>
    <w:rsid w:val="00372081"/>
    <w:rsid w:val="00397C49"/>
    <w:rsid w:val="003E4076"/>
    <w:rsid w:val="003F74F1"/>
    <w:rsid w:val="00402102"/>
    <w:rsid w:val="004049AF"/>
    <w:rsid w:val="00405B9E"/>
    <w:rsid w:val="00425975"/>
    <w:rsid w:val="004266C7"/>
    <w:rsid w:val="00432603"/>
    <w:rsid w:val="0047634E"/>
    <w:rsid w:val="004855F8"/>
    <w:rsid w:val="004B5349"/>
    <w:rsid w:val="004C36DB"/>
    <w:rsid w:val="004C4C5A"/>
    <w:rsid w:val="004E07B3"/>
    <w:rsid w:val="004E0B46"/>
    <w:rsid w:val="004F079B"/>
    <w:rsid w:val="00501216"/>
    <w:rsid w:val="00507906"/>
    <w:rsid w:val="00513E23"/>
    <w:rsid w:val="00521C93"/>
    <w:rsid w:val="005350A8"/>
    <w:rsid w:val="005418CB"/>
    <w:rsid w:val="00541F4A"/>
    <w:rsid w:val="00544CCB"/>
    <w:rsid w:val="00545E5B"/>
    <w:rsid w:val="00547545"/>
    <w:rsid w:val="00556E0D"/>
    <w:rsid w:val="00565C0D"/>
    <w:rsid w:val="00583414"/>
    <w:rsid w:val="0058482E"/>
    <w:rsid w:val="0059124D"/>
    <w:rsid w:val="005913F4"/>
    <w:rsid w:val="005A3692"/>
    <w:rsid w:val="005B5275"/>
    <w:rsid w:val="005B5CC3"/>
    <w:rsid w:val="005D1ED7"/>
    <w:rsid w:val="005E4F35"/>
    <w:rsid w:val="005F172F"/>
    <w:rsid w:val="006156B7"/>
    <w:rsid w:val="00625E6F"/>
    <w:rsid w:val="006260F2"/>
    <w:rsid w:val="006315CD"/>
    <w:rsid w:val="00632CD2"/>
    <w:rsid w:val="00663A3A"/>
    <w:rsid w:val="006654B7"/>
    <w:rsid w:val="00675414"/>
    <w:rsid w:val="00677419"/>
    <w:rsid w:val="006779F4"/>
    <w:rsid w:val="00687DFE"/>
    <w:rsid w:val="00690D14"/>
    <w:rsid w:val="006A7F7E"/>
    <w:rsid w:val="006B5E8E"/>
    <w:rsid w:val="006C0B59"/>
    <w:rsid w:val="006C1DF3"/>
    <w:rsid w:val="006D47F0"/>
    <w:rsid w:val="006F435B"/>
    <w:rsid w:val="006F47E0"/>
    <w:rsid w:val="007017E1"/>
    <w:rsid w:val="007038B2"/>
    <w:rsid w:val="0071117F"/>
    <w:rsid w:val="00725C35"/>
    <w:rsid w:val="007334EC"/>
    <w:rsid w:val="00755D6E"/>
    <w:rsid w:val="00757FF2"/>
    <w:rsid w:val="00774658"/>
    <w:rsid w:val="00791485"/>
    <w:rsid w:val="007A244A"/>
    <w:rsid w:val="007D4228"/>
    <w:rsid w:val="007D4664"/>
    <w:rsid w:val="007E02E6"/>
    <w:rsid w:val="0080292C"/>
    <w:rsid w:val="00826CA1"/>
    <w:rsid w:val="00831DC8"/>
    <w:rsid w:val="00840E76"/>
    <w:rsid w:val="00842276"/>
    <w:rsid w:val="0085364B"/>
    <w:rsid w:val="00855794"/>
    <w:rsid w:val="00855AD0"/>
    <w:rsid w:val="00865035"/>
    <w:rsid w:val="00873F0D"/>
    <w:rsid w:val="00876954"/>
    <w:rsid w:val="0088481D"/>
    <w:rsid w:val="008A381E"/>
    <w:rsid w:val="008C1F61"/>
    <w:rsid w:val="008D4776"/>
    <w:rsid w:val="008D6281"/>
    <w:rsid w:val="008F2118"/>
    <w:rsid w:val="00907B2B"/>
    <w:rsid w:val="0092251C"/>
    <w:rsid w:val="009353B8"/>
    <w:rsid w:val="009362EC"/>
    <w:rsid w:val="00941016"/>
    <w:rsid w:val="009432EF"/>
    <w:rsid w:val="009446AB"/>
    <w:rsid w:val="00946020"/>
    <w:rsid w:val="009A02B5"/>
    <w:rsid w:val="009A679B"/>
    <w:rsid w:val="009B2BB5"/>
    <w:rsid w:val="009B5735"/>
    <w:rsid w:val="009C124C"/>
    <w:rsid w:val="009D277E"/>
    <w:rsid w:val="009E2EFF"/>
    <w:rsid w:val="00A01AE6"/>
    <w:rsid w:val="00A14689"/>
    <w:rsid w:val="00A230EE"/>
    <w:rsid w:val="00A237EB"/>
    <w:rsid w:val="00A253A7"/>
    <w:rsid w:val="00A36EC7"/>
    <w:rsid w:val="00A47F79"/>
    <w:rsid w:val="00A548FB"/>
    <w:rsid w:val="00A5515D"/>
    <w:rsid w:val="00A5751E"/>
    <w:rsid w:val="00A674CB"/>
    <w:rsid w:val="00A815B2"/>
    <w:rsid w:val="00A8594C"/>
    <w:rsid w:val="00A906F1"/>
    <w:rsid w:val="00A91FF9"/>
    <w:rsid w:val="00AA02FD"/>
    <w:rsid w:val="00AA1AB7"/>
    <w:rsid w:val="00AB01E1"/>
    <w:rsid w:val="00AB1B46"/>
    <w:rsid w:val="00AB71BA"/>
    <w:rsid w:val="00AC21E4"/>
    <w:rsid w:val="00AD4A44"/>
    <w:rsid w:val="00AE3577"/>
    <w:rsid w:val="00AE6383"/>
    <w:rsid w:val="00AF251A"/>
    <w:rsid w:val="00AF2877"/>
    <w:rsid w:val="00B210E0"/>
    <w:rsid w:val="00B235F6"/>
    <w:rsid w:val="00B25D8D"/>
    <w:rsid w:val="00B60F48"/>
    <w:rsid w:val="00B67B10"/>
    <w:rsid w:val="00B76F88"/>
    <w:rsid w:val="00B77EDC"/>
    <w:rsid w:val="00B84289"/>
    <w:rsid w:val="00B959A0"/>
    <w:rsid w:val="00BA7FC9"/>
    <w:rsid w:val="00BC359D"/>
    <w:rsid w:val="00BE5FD7"/>
    <w:rsid w:val="00BF2635"/>
    <w:rsid w:val="00BF4EA9"/>
    <w:rsid w:val="00C01BE6"/>
    <w:rsid w:val="00C122FE"/>
    <w:rsid w:val="00C17C1E"/>
    <w:rsid w:val="00C22598"/>
    <w:rsid w:val="00C45CCF"/>
    <w:rsid w:val="00C57B4B"/>
    <w:rsid w:val="00C75D38"/>
    <w:rsid w:val="00C838CB"/>
    <w:rsid w:val="00CA435C"/>
    <w:rsid w:val="00CA6C6D"/>
    <w:rsid w:val="00CB298C"/>
    <w:rsid w:val="00CB5805"/>
    <w:rsid w:val="00CC55B0"/>
    <w:rsid w:val="00CD5345"/>
    <w:rsid w:val="00CE5008"/>
    <w:rsid w:val="00CF46DE"/>
    <w:rsid w:val="00D0392F"/>
    <w:rsid w:val="00D16E36"/>
    <w:rsid w:val="00D17586"/>
    <w:rsid w:val="00D245EB"/>
    <w:rsid w:val="00D30919"/>
    <w:rsid w:val="00D34B09"/>
    <w:rsid w:val="00D36016"/>
    <w:rsid w:val="00D47D46"/>
    <w:rsid w:val="00D5793F"/>
    <w:rsid w:val="00D64134"/>
    <w:rsid w:val="00D763A7"/>
    <w:rsid w:val="00D928C5"/>
    <w:rsid w:val="00D95B1C"/>
    <w:rsid w:val="00D968BA"/>
    <w:rsid w:val="00DA3495"/>
    <w:rsid w:val="00DA72A6"/>
    <w:rsid w:val="00DB4519"/>
    <w:rsid w:val="00DE265C"/>
    <w:rsid w:val="00E018A3"/>
    <w:rsid w:val="00E05A09"/>
    <w:rsid w:val="00E06623"/>
    <w:rsid w:val="00E22692"/>
    <w:rsid w:val="00E22B43"/>
    <w:rsid w:val="00E35CE2"/>
    <w:rsid w:val="00E4213A"/>
    <w:rsid w:val="00E4378F"/>
    <w:rsid w:val="00E43B09"/>
    <w:rsid w:val="00E81285"/>
    <w:rsid w:val="00E87B20"/>
    <w:rsid w:val="00ED4BAC"/>
    <w:rsid w:val="00F00C59"/>
    <w:rsid w:val="00F0152F"/>
    <w:rsid w:val="00F109C3"/>
    <w:rsid w:val="00F14F87"/>
    <w:rsid w:val="00F24A3C"/>
    <w:rsid w:val="00F51DA6"/>
    <w:rsid w:val="00F56DD4"/>
    <w:rsid w:val="00F74F03"/>
    <w:rsid w:val="00F7522A"/>
    <w:rsid w:val="00F82360"/>
    <w:rsid w:val="00F83591"/>
    <w:rsid w:val="00F87B7C"/>
    <w:rsid w:val="00F947E8"/>
    <w:rsid w:val="00FD1481"/>
    <w:rsid w:val="00FE2565"/>
    <w:rsid w:val="00FE7175"/>
    <w:rsid w:val="01147693"/>
    <w:rsid w:val="01AE4D38"/>
    <w:rsid w:val="025F8508"/>
    <w:rsid w:val="04FF1657"/>
    <w:rsid w:val="09AD1072"/>
    <w:rsid w:val="12B833F5"/>
    <w:rsid w:val="15B5371A"/>
    <w:rsid w:val="15EFD4B7"/>
    <w:rsid w:val="1BD919D4"/>
    <w:rsid w:val="20581083"/>
    <w:rsid w:val="233C1E4B"/>
    <w:rsid w:val="243D1E20"/>
    <w:rsid w:val="24CC5DBF"/>
    <w:rsid w:val="252AF944"/>
    <w:rsid w:val="260DE607"/>
    <w:rsid w:val="28629A06"/>
    <w:rsid w:val="28B2E05F"/>
    <w:rsid w:val="2B79669D"/>
    <w:rsid w:val="2C519793"/>
    <w:rsid w:val="2FB4C84D"/>
    <w:rsid w:val="300178F6"/>
    <w:rsid w:val="3087755D"/>
    <w:rsid w:val="315098AE"/>
    <w:rsid w:val="319D4957"/>
    <w:rsid w:val="331C6B3B"/>
    <w:rsid w:val="34C501BA"/>
    <w:rsid w:val="361DF592"/>
    <w:rsid w:val="3BCDDF86"/>
    <w:rsid w:val="3E65FFDD"/>
    <w:rsid w:val="3FC299EA"/>
    <w:rsid w:val="423475EA"/>
    <w:rsid w:val="4714C831"/>
    <w:rsid w:val="4C34E9FD"/>
    <w:rsid w:val="4CD2966F"/>
    <w:rsid w:val="4EB88C07"/>
    <w:rsid w:val="4F6C8ABF"/>
    <w:rsid w:val="4FDCEB99"/>
    <w:rsid w:val="500623E7"/>
    <w:rsid w:val="52F7A78F"/>
    <w:rsid w:val="57CAE8F4"/>
    <w:rsid w:val="58B6BE61"/>
    <w:rsid w:val="591B5A8B"/>
    <w:rsid w:val="5AB72AEC"/>
    <w:rsid w:val="69A1DF2F"/>
    <w:rsid w:val="6E29CA11"/>
    <w:rsid w:val="70B3B14E"/>
    <w:rsid w:val="7438F798"/>
    <w:rsid w:val="75D854C9"/>
    <w:rsid w:val="781C778B"/>
    <w:rsid w:val="79C91E7C"/>
    <w:rsid w:val="7A547322"/>
    <w:rsid w:val="7B2580E6"/>
    <w:rsid w:val="7F27E445"/>
    <w:rsid w:val="7F660EB2"/>
    <w:rsid w:val="7FD7DF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unhideWhenUsed/>
    <w:qFormat/>
    <w:rsid w:val="009E2EFF"/>
    <w:pPr>
      <w:widowControl w:val="0"/>
      <w:autoSpaceDE w:val="0"/>
      <w:autoSpaceDN w:val="0"/>
      <w:spacing w:after="0" w:line="240" w:lineRule="auto"/>
      <w:ind w:left="112"/>
      <w:outlineLvl w:val="3"/>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779F4"/>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237C97"/>
    <w:rPr>
      <w:color w:val="0000FF" w:themeColor="hyperlink"/>
      <w:u w:val="single"/>
    </w:rPr>
  </w:style>
  <w:style w:type="paragraph" w:styleId="Prrafodelista">
    <w:name w:val="List Paragraph"/>
    <w:basedOn w:val="Normal"/>
    <w:uiPriority w:val="34"/>
    <w:qFormat/>
    <w:rsid w:val="00E43B09"/>
    <w:pPr>
      <w:spacing w:after="0" w:line="240" w:lineRule="auto"/>
      <w:ind w:left="720"/>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0B7A1A"/>
    <w:pPr>
      <w:widowControl w:val="0"/>
      <w:spacing w:after="0" w:line="240" w:lineRule="auto"/>
      <w:ind w:left="141"/>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0B7A1A"/>
    <w:rPr>
      <w:rFonts w:ascii="Arial" w:eastAsia="Arial" w:hAnsi="Arial"/>
      <w:lang w:val="en-US"/>
    </w:rPr>
  </w:style>
  <w:style w:type="paragraph" w:styleId="Encabezado">
    <w:name w:val="header"/>
    <w:basedOn w:val="Normal"/>
    <w:link w:val="EncabezadoCar"/>
    <w:uiPriority w:val="99"/>
    <w:unhideWhenUsed/>
    <w:rsid w:val="008029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92C"/>
  </w:style>
  <w:style w:type="paragraph" w:styleId="Piedepgina">
    <w:name w:val="footer"/>
    <w:basedOn w:val="Normal"/>
    <w:link w:val="PiedepginaCar"/>
    <w:uiPriority w:val="99"/>
    <w:unhideWhenUsed/>
    <w:rsid w:val="008029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92C"/>
  </w:style>
  <w:style w:type="paragraph" w:styleId="Textodeglobo">
    <w:name w:val="Balloon Text"/>
    <w:basedOn w:val="Normal"/>
    <w:link w:val="TextodegloboCar"/>
    <w:uiPriority w:val="99"/>
    <w:semiHidden/>
    <w:unhideWhenUsed/>
    <w:rsid w:val="001B3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3A1D"/>
    <w:rPr>
      <w:rFonts w:ascii="Tahoma" w:hAnsi="Tahoma" w:cs="Tahoma"/>
      <w:sz w:val="16"/>
      <w:szCs w:val="16"/>
    </w:rPr>
  </w:style>
  <w:style w:type="table" w:styleId="Tablaconcuadrcula">
    <w:name w:val="Table Grid"/>
    <w:basedOn w:val="Tablanormal"/>
    <w:uiPriority w:val="59"/>
    <w:rsid w:val="0066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mbria">
    <w:name w:val="Estilo Cambria"/>
    <w:rsid w:val="009A02B5"/>
    <w:rPr>
      <w:rFonts w:ascii="Cambria" w:hAnsi="Cambria"/>
      <w:sz w:val="24"/>
    </w:rPr>
  </w:style>
  <w:style w:type="character" w:customStyle="1" w:styleId="Ttulo4Car">
    <w:name w:val="Título 4 Car"/>
    <w:basedOn w:val="Fuentedeprrafopredeter"/>
    <w:link w:val="Ttulo4"/>
    <w:uiPriority w:val="9"/>
    <w:rsid w:val="009E2EFF"/>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16393">
      <w:bodyDiv w:val="1"/>
      <w:marLeft w:val="0"/>
      <w:marRight w:val="0"/>
      <w:marTop w:val="0"/>
      <w:marBottom w:val="0"/>
      <w:divBdr>
        <w:top w:val="none" w:sz="0" w:space="0" w:color="auto"/>
        <w:left w:val="none" w:sz="0" w:space="0" w:color="auto"/>
        <w:bottom w:val="none" w:sz="0" w:space="0" w:color="auto"/>
        <w:right w:val="none" w:sz="0" w:space="0" w:color="auto"/>
      </w:divBdr>
      <w:divsChild>
        <w:div w:id="814026533">
          <w:marLeft w:val="432"/>
          <w:marRight w:val="0"/>
          <w:marTop w:val="50"/>
          <w:marBottom w:val="0"/>
          <w:divBdr>
            <w:top w:val="none" w:sz="0" w:space="0" w:color="auto"/>
            <w:left w:val="none" w:sz="0" w:space="0" w:color="auto"/>
            <w:bottom w:val="none" w:sz="0" w:space="0" w:color="auto"/>
            <w:right w:val="none" w:sz="0" w:space="0" w:color="auto"/>
          </w:divBdr>
        </w:div>
        <w:div w:id="1455637431">
          <w:marLeft w:val="907"/>
          <w:marRight w:val="0"/>
          <w:marTop w:val="50"/>
          <w:marBottom w:val="0"/>
          <w:divBdr>
            <w:top w:val="none" w:sz="0" w:space="0" w:color="auto"/>
            <w:left w:val="none" w:sz="0" w:space="0" w:color="auto"/>
            <w:bottom w:val="none" w:sz="0" w:space="0" w:color="auto"/>
            <w:right w:val="none" w:sz="0" w:space="0" w:color="auto"/>
          </w:divBdr>
        </w:div>
        <w:div w:id="1603102754">
          <w:marLeft w:val="907"/>
          <w:marRight w:val="0"/>
          <w:marTop w:val="50"/>
          <w:marBottom w:val="0"/>
          <w:divBdr>
            <w:top w:val="none" w:sz="0" w:space="0" w:color="auto"/>
            <w:left w:val="none" w:sz="0" w:space="0" w:color="auto"/>
            <w:bottom w:val="none" w:sz="0" w:space="0" w:color="auto"/>
            <w:right w:val="none" w:sz="0" w:space="0" w:color="auto"/>
          </w:divBdr>
        </w:div>
        <w:div w:id="1531190369">
          <w:marLeft w:val="907"/>
          <w:marRight w:val="0"/>
          <w:marTop w:val="50"/>
          <w:marBottom w:val="0"/>
          <w:divBdr>
            <w:top w:val="none" w:sz="0" w:space="0" w:color="auto"/>
            <w:left w:val="none" w:sz="0" w:space="0" w:color="auto"/>
            <w:bottom w:val="none" w:sz="0" w:space="0" w:color="auto"/>
            <w:right w:val="none" w:sz="0" w:space="0" w:color="auto"/>
          </w:divBdr>
        </w:div>
        <w:div w:id="1896773168">
          <w:marLeft w:val="907"/>
          <w:marRight w:val="0"/>
          <w:marTop w:val="50"/>
          <w:marBottom w:val="0"/>
          <w:divBdr>
            <w:top w:val="none" w:sz="0" w:space="0" w:color="auto"/>
            <w:left w:val="none" w:sz="0" w:space="0" w:color="auto"/>
            <w:bottom w:val="none" w:sz="0" w:space="0" w:color="auto"/>
            <w:right w:val="none" w:sz="0" w:space="0" w:color="auto"/>
          </w:divBdr>
        </w:div>
        <w:div w:id="978152193">
          <w:marLeft w:val="907"/>
          <w:marRight w:val="0"/>
          <w:marTop w:val="50"/>
          <w:marBottom w:val="0"/>
          <w:divBdr>
            <w:top w:val="none" w:sz="0" w:space="0" w:color="auto"/>
            <w:left w:val="none" w:sz="0" w:space="0" w:color="auto"/>
            <w:bottom w:val="none" w:sz="0" w:space="0" w:color="auto"/>
            <w:right w:val="none" w:sz="0" w:space="0" w:color="auto"/>
          </w:divBdr>
        </w:div>
        <w:div w:id="1692797652">
          <w:marLeft w:val="907"/>
          <w:marRight w:val="0"/>
          <w:marTop w:val="50"/>
          <w:marBottom w:val="0"/>
          <w:divBdr>
            <w:top w:val="none" w:sz="0" w:space="0" w:color="auto"/>
            <w:left w:val="none" w:sz="0" w:space="0" w:color="auto"/>
            <w:bottom w:val="none" w:sz="0" w:space="0" w:color="auto"/>
            <w:right w:val="none" w:sz="0" w:space="0" w:color="auto"/>
          </w:divBdr>
        </w:div>
        <w:div w:id="1416588039">
          <w:marLeft w:val="907"/>
          <w:marRight w:val="0"/>
          <w:marTop w:val="50"/>
          <w:marBottom w:val="0"/>
          <w:divBdr>
            <w:top w:val="none" w:sz="0" w:space="0" w:color="auto"/>
            <w:left w:val="none" w:sz="0" w:space="0" w:color="auto"/>
            <w:bottom w:val="none" w:sz="0" w:space="0" w:color="auto"/>
            <w:right w:val="none" w:sz="0" w:space="0" w:color="auto"/>
          </w:divBdr>
        </w:div>
      </w:divsChild>
    </w:div>
    <w:div w:id="422803727">
      <w:bodyDiv w:val="1"/>
      <w:marLeft w:val="0"/>
      <w:marRight w:val="0"/>
      <w:marTop w:val="0"/>
      <w:marBottom w:val="0"/>
      <w:divBdr>
        <w:top w:val="none" w:sz="0" w:space="0" w:color="auto"/>
        <w:left w:val="none" w:sz="0" w:space="0" w:color="auto"/>
        <w:bottom w:val="none" w:sz="0" w:space="0" w:color="auto"/>
        <w:right w:val="none" w:sz="0" w:space="0" w:color="auto"/>
      </w:divBdr>
      <w:divsChild>
        <w:div w:id="513691417">
          <w:marLeft w:val="-225"/>
          <w:marRight w:val="-225"/>
          <w:marTop w:val="0"/>
          <w:marBottom w:val="0"/>
          <w:divBdr>
            <w:top w:val="none" w:sz="0" w:space="0" w:color="auto"/>
            <w:left w:val="none" w:sz="0" w:space="0" w:color="auto"/>
            <w:bottom w:val="none" w:sz="0" w:space="0" w:color="auto"/>
            <w:right w:val="none" w:sz="0" w:space="0" w:color="auto"/>
          </w:divBdr>
          <w:divsChild>
            <w:div w:id="1101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9067">
      <w:bodyDiv w:val="1"/>
      <w:marLeft w:val="0"/>
      <w:marRight w:val="0"/>
      <w:marTop w:val="0"/>
      <w:marBottom w:val="0"/>
      <w:divBdr>
        <w:top w:val="none" w:sz="0" w:space="0" w:color="auto"/>
        <w:left w:val="none" w:sz="0" w:space="0" w:color="auto"/>
        <w:bottom w:val="none" w:sz="0" w:space="0" w:color="auto"/>
        <w:right w:val="none" w:sz="0" w:space="0" w:color="auto"/>
      </w:divBdr>
      <w:divsChild>
        <w:div w:id="1344626208">
          <w:marLeft w:val="-225"/>
          <w:marRight w:val="-225"/>
          <w:marTop w:val="0"/>
          <w:marBottom w:val="0"/>
          <w:divBdr>
            <w:top w:val="none" w:sz="0" w:space="0" w:color="auto"/>
            <w:left w:val="none" w:sz="0" w:space="0" w:color="auto"/>
            <w:bottom w:val="none" w:sz="0" w:space="0" w:color="auto"/>
            <w:right w:val="none" w:sz="0" w:space="0" w:color="auto"/>
          </w:divBdr>
          <w:divsChild>
            <w:div w:id="3255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2">
      <w:bodyDiv w:val="1"/>
      <w:marLeft w:val="0"/>
      <w:marRight w:val="0"/>
      <w:marTop w:val="0"/>
      <w:marBottom w:val="0"/>
      <w:divBdr>
        <w:top w:val="none" w:sz="0" w:space="0" w:color="auto"/>
        <w:left w:val="none" w:sz="0" w:space="0" w:color="auto"/>
        <w:bottom w:val="none" w:sz="0" w:space="0" w:color="auto"/>
        <w:right w:val="none" w:sz="0" w:space="0" w:color="auto"/>
      </w:divBdr>
      <w:divsChild>
        <w:div w:id="241333584">
          <w:marLeft w:val="-225"/>
          <w:marRight w:val="-225"/>
          <w:marTop w:val="0"/>
          <w:marBottom w:val="0"/>
          <w:divBdr>
            <w:top w:val="none" w:sz="0" w:space="0" w:color="auto"/>
            <w:left w:val="none" w:sz="0" w:space="0" w:color="auto"/>
            <w:bottom w:val="none" w:sz="0" w:space="0" w:color="auto"/>
            <w:right w:val="none" w:sz="0" w:space="0" w:color="auto"/>
          </w:divBdr>
          <w:divsChild>
            <w:div w:id="8629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9241">
      <w:bodyDiv w:val="1"/>
      <w:marLeft w:val="0"/>
      <w:marRight w:val="0"/>
      <w:marTop w:val="0"/>
      <w:marBottom w:val="0"/>
      <w:divBdr>
        <w:top w:val="none" w:sz="0" w:space="0" w:color="auto"/>
        <w:left w:val="none" w:sz="0" w:space="0" w:color="auto"/>
        <w:bottom w:val="none" w:sz="0" w:space="0" w:color="auto"/>
        <w:right w:val="none" w:sz="0" w:space="0" w:color="auto"/>
      </w:divBdr>
      <w:divsChild>
        <w:div w:id="1450781697">
          <w:marLeft w:val="-225"/>
          <w:marRight w:val="-225"/>
          <w:marTop w:val="0"/>
          <w:marBottom w:val="0"/>
          <w:divBdr>
            <w:top w:val="none" w:sz="0" w:space="0" w:color="auto"/>
            <w:left w:val="none" w:sz="0" w:space="0" w:color="auto"/>
            <w:bottom w:val="none" w:sz="0" w:space="0" w:color="auto"/>
            <w:right w:val="none" w:sz="0" w:space="0" w:color="auto"/>
          </w:divBdr>
          <w:divsChild>
            <w:div w:id="14036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512">
      <w:bodyDiv w:val="1"/>
      <w:marLeft w:val="0"/>
      <w:marRight w:val="0"/>
      <w:marTop w:val="0"/>
      <w:marBottom w:val="0"/>
      <w:divBdr>
        <w:top w:val="none" w:sz="0" w:space="0" w:color="auto"/>
        <w:left w:val="none" w:sz="0" w:space="0" w:color="auto"/>
        <w:bottom w:val="none" w:sz="0" w:space="0" w:color="auto"/>
        <w:right w:val="none" w:sz="0" w:space="0" w:color="auto"/>
      </w:divBdr>
      <w:divsChild>
        <w:div w:id="1621106862">
          <w:marLeft w:val="-225"/>
          <w:marRight w:val="-225"/>
          <w:marTop w:val="0"/>
          <w:marBottom w:val="0"/>
          <w:divBdr>
            <w:top w:val="none" w:sz="0" w:space="0" w:color="auto"/>
            <w:left w:val="none" w:sz="0" w:space="0" w:color="auto"/>
            <w:bottom w:val="none" w:sz="0" w:space="0" w:color="auto"/>
            <w:right w:val="none" w:sz="0" w:space="0" w:color="auto"/>
          </w:divBdr>
          <w:divsChild>
            <w:div w:id="2162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203">
      <w:bodyDiv w:val="1"/>
      <w:marLeft w:val="0"/>
      <w:marRight w:val="0"/>
      <w:marTop w:val="0"/>
      <w:marBottom w:val="0"/>
      <w:divBdr>
        <w:top w:val="none" w:sz="0" w:space="0" w:color="auto"/>
        <w:left w:val="none" w:sz="0" w:space="0" w:color="auto"/>
        <w:bottom w:val="none" w:sz="0" w:space="0" w:color="auto"/>
        <w:right w:val="none" w:sz="0" w:space="0" w:color="auto"/>
      </w:divBdr>
      <w:divsChild>
        <w:div w:id="974917041">
          <w:marLeft w:val="-225"/>
          <w:marRight w:val="-225"/>
          <w:marTop w:val="0"/>
          <w:marBottom w:val="0"/>
          <w:divBdr>
            <w:top w:val="none" w:sz="0" w:space="0" w:color="auto"/>
            <w:left w:val="none" w:sz="0" w:space="0" w:color="auto"/>
            <w:bottom w:val="none" w:sz="0" w:space="0" w:color="auto"/>
            <w:right w:val="none" w:sz="0" w:space="0" w:color="auto"/>
          </w:divBdr>
          <w:divsChild>
            <w:div w:id="5522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00">
      <w:bodyDiv w:val="1"/>
      <w:marLeft w:val="0"/>
      <w:marRight w:val="0"/>
      <w:marTop w:val="0"/>
      <w:marBottom w:val="0"/>
      <w:divBdr>
        <w:top w:val="none" w:sz="0" w:space="0" w:color="auto"/>
        <w:left w:val="none" w:sz="0" w:space="0" w:color="auto"/>
        <w:bottom w:val="none" w:sz="0" w:space="0" w:color="auto"/>
        <w:right w:val="none" w:sz="0" w:space="0" w:color="auto"/>
      </w:divBdr>
      <w:divsChild>
        <w:div w:id="19817038">
          <w:marLeft w:val="-225"/>
          <w:marRight w:val="-225"/>
          <w:marTop w:val="0"/>
          <w:marBottom w:val="0"/>
          <w:divBdr>
            <w:top w:val="none" w:sz="0" w:space="0" w:color="auto"/>
            <w:left w:val="none" w:sz="0" w:space="0" w:color="auto"/>
            <w:bottom w:val="none" w:sz="0" w:space="0" w:color="auto"/>
            <w:right w:val="none" w:sz="0" w:space="0" w:color="auto"/>
          </w:divBdr>
          <w:divsChild>
            <w:div w:id="11939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7603">
      <w:bodyDiv w:val="1"/>
      <w:marLeft w:val="0"/>
      <w:marRight w:val="0"/>
      <w:marTop w:val="0"/>
      <w:marBottom w:val="0"/>
      <w:divBdr>
        <w:top w:val="none" w:sz="0" w:space="0" w:color="auto"/>
        <w:left w:val="none" w:sz="0" w:space="0" w:color="auto"/>
        <w:bottom w:val="none" w:sz="0" w:space="0" w:color="auto"/>
        <w:right w:val="none" w:sz="0" w:space="0" w:color="auto"/>
      </w:divBdr>
      <w:divsChild>
        <w:div w:id="1371564820">
          <w:marLeft w:val="-225"/>
          <w:marRight w:val="-225"/>
          <w:marTop w:val="0"/>
          <w:marBottom w:val="0"/>
          <w:divBdr>
            <w:top w:val="none" w:sz="0" w:space="0" w:color="auto"/>
            <w:left w:val="none" w:sz="0" w:space="0" w:color="auto"/>
            <w:bottom w:val="none" w:sz="0" w:space="0" w:color="auto"/>
            <w:right w:val="none" w:sz="0" w:space="0" w:color="auto"/>
          </w:divBdr>
          <w:divsChild>
            <w:div w:id="12592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3926">
      <w:bodyDiv w:val="1"/>
      <w:marLeft w:val="0"/>
      <w:marRight w:val="0"/>
      <w:marTop w:val="0"/>
      <w:marBottom w:val="0"/>
      <w:divBdr>
        <w:top w:val="none" w:sz="0" w:space="0" w:color="auto"/>
        <w:left w:val="none" w:sz="0" w:space="0" w:color="auto"/>
        <w:bottom w:val="none" w:sz="0" w:space="0" w:color="auto"/>
        <w:right w:val="none" w:sz="0" w:space="0" w:color="auto"/>
      </w:divBdr>
      <w:divsChild>
        <w:div w:id="2133746505">
          <w:marLeft w:val="-225"/>
          <w:marRight w:val="-225"/>
          <w:marTop w:val="0"/>
          <w:marBottom w:val="0"/>
          <w:divBdr>
            <w:top w:val="none" w:sz="0" w:space="0" w:color="auto"/>
            <w:left w:val="none" w:sz="0" w:space="0" w:color="auto"/>
            <w:bottom w:val="none" w:sz="0" w:space="0" w:color="auto"/>
            <w:right w:val="none" w:sz="0" w:space="0" w:color="auto"/>
          </w:divBdr>
          <w:divsChild>
            <w:div w:id="952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d49b89-c709-48c6-ada2-c6727f45a51e" xsi:nil="true"/>
    <lcf76f155ced4ddcb4097134ff3c332f xmlns="02e6d238-3455-4c0e-9cc4-f5c462fab2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DC8541C7C53B49AC88DC896C8765C5" ma:contentTypeVersion="10" ma:contentTypeDescription="Crear nuevo documento." ma:contentTypeScope="" ma:versionID="342022836abf159269cfe8d0444a7ca4">
  <xsd:schema xmlns:xsd="http://www.w3.org/2001/XMLSchema" xmlns:xs="http://www.w3.org/2001/XMLSchema" xmlns:p="http://schemas.microsoft.com/office/2006/metadata/properties" xmlns:ns2="02e6d238-3455-4c0e-9cc4-f5c462fab23a" xmlns:ns3="b7d49b89-c709-48c6-ada2-c6727f45a51e" targetNamespace="http://schemas.microsoft.com/office/2006/metadata/properties" ma:root="true" ma:fieldsID="35d3bf2a3dee61a7cf88d00c627bb365" ns2:_="" ns3:_="">
    <xsd:import namespace="02e6d238-3455-4c0e-9cc4-f5c462fab23a"/>
    <xsd:import namespace="b7d49b89-c709-48c6-ada2-c6727f45a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6d238-3455-4c0e-9cc4-f5c462fab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49b89-c709-48c6-ada2-c6727f45a51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c5682b-c20c-4e50-b3b9-6e113e166ada}" ma:internalName="TaxCatchAll" ma:showField="CatchAllData" ma:web="b7d49b89-c709-48c6-ada2-c6727f45a5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66554-9754-42BE-A26B-A69CAC003899}">
  <ds:schemaRefs>
    <ds:schemaRef ds:uri="http://schemas.microsoft.com/sharepoint/v3/contenttype/forms"/>
  </ds:schemaRefs>
</ds:datastoreItem>
</file>

<file path=customXml/itemProps2.xml><?xml version="1.0" encoding="utf-8"?>
<ds:datastoreItem xmlns:ds="http://schemas.openxmlformats.org/officeDocument/2006/customXml" ds:itemID="{011E236B-C32B-4ACA-BD6C-91007598AEED}">
  <ds:schemaRefs>
    <ds:schemaRef ds:uri="http://schemas.microsoft.com/office/2006/metadata/properties"/>
    <ds:schemaRef ds:uri="http://schemas.microsoft.com/office/infopath/2007/PartnerControls"/>
    <ds:schemaRef ds:uri="b7d49b89-c709-48c6-ada2-c6727f45a51e"/>
    <ds:schemaRef ds:uri="02e6d238-3455-4c0e-9cc4-f5c462fab23a"/>
  </ds:schemaRefs>
</ds:datastoreItem>
</file>

<file path=customXml/itemProps3.xml><?xml version="1.0" encoding="utf-8"?>
<ds:datastoreItem xmlns:ds="http://schemas.openxmlformats.org/officeDocument/2006/customXml" ds:itemID="{962A67E4-0529-4241-B70E-43AA3FC07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6d238-3455-4c0e-9cc4-f5c462fab23a"/>
    <ds:schemaRef ds:uri="b7d49b89-c709-48c6-ada2-c6727f45a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E8EDE-18BF-4DA7-9BAA-38B5B1F4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2023-11-20T10:05:00Z</dcterms:created>
  <dcterms:modified xsi:type="dcterms:W3CDTF">2023-11-20T10:05:00Z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0x0101006ADC8541C7C53B49AC88DC896C8765C5</vt:lpwstr>
  </property>
  <property fmtid="{D5CDD505-2E9C-101B-9397-08002B2CF9AE}" pid="3" name="MediaServiceImageTags">
    <vt:lpwstr/>
  </property>
</Properties>
</file>