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0" w:rsidRDefault="00CF0BE0" w:rsidP="00CF0BE0">
      <w:pPr>
        <w:spacing w:before="10" w:after="10" w:line="360" w:lineRule="auto"/>
        <w:jc w:val="center"/>
        <w:rPr>
          <w:rFonts w:ascii="Arial" w:eastAsia="Times" w:hAnsi="Arial" w:cs="Times New Roman"/>
          <w:b/>
          <w:lang w:val="es-ES_tradnl" w:eastAsia="es-ES"/>
        </w:rPr>
      </w:pPr>
    </w:p>
    <w:p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URAREN KONTSEILUA</w:t>
      </w:r>
    </w:p>
    <w:p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t>2014ko urriaren 6an</w:t>
      </w:r>
    </w:p>
    <w:p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:rsidR="007537A2" w:rsidRPr="00ED072E" w:rsidRDefault="007537A2" w:rsidP="00ED072E">
      <w:pPr>
        <w:spacing w:before="10" w:after="10" w:line="360" w:lineRule="auto"/>
        <w:rPr>
          <w:rFonts w:ascii="Verdana" w:eastAsia="Times" w:hAnsi="Verdana" w:cs="Times New Roman"/>
          <w:b/>
          <w:sz w:val="20"/>
          <w:szCs w:val="20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lang w:val="de-DE" w:eastAsia="es-ES"/>
        </w:rPr>
        <w:t>Gai-Zerrenda</w:t>
      </w:r>
    </w:p>
    <w:p w:rsidR="007537A2" w:rsidRPr="00ED072E" w:rsidRDefault="007537A2" w:rsidP="00ED072E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ED072E">
        <w:rPr>
          <w:rFonts w:ascii="Verdana" w:eastAsia="Times" w:hAnsi="Verdana" w:cs="Times New Roman"/>
          <w:sz w:val="20"/>
          <w:szCs w:val="20"/>
          <w:lang w:val="de-DE" w:eastAsia="es-ES"/>
        </w:rPr>
        <w:t>Aurreko Bilerako akta irakurri eta onetsi, onartzeako bada.</w:t>
      </w:r>
    </w:p>
    <w:p w:rsidR="007537A2" w:rsidRPr="007610C1" w:rsidRDefault="007537A2" w:rsidP="00ED072E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7610C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Plangintzaren bigarren zikloko (2015-2021) Uraren kudeaketaren</w:t>
      </w:r>
      <w:r w:rsidR="007610C1" w:rsidRPr="007610C1"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inguruko Gai Nagusien Behin-behineko Eskema. </w:t>
      </w:r>
      <w:proofErr w:type="spellStart"/>
      <w:r w:rsid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D</w:t>
      </w:r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errigorre</w:t>
      </w:r>
      <w:r w:rsidR="007610C1"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z</w:t>
      </w:r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txostena</w:t>
      </w:r>
      <w:proofErr w:type="spellEnd"/>
    </w:p>
    <w:p w:rsidR="007537A2" w:rsidRPr="007610C1" w:rsidRDefault="007537A2" w:rsidP="00ED072E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Emari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Ekologikoen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erregimena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ezartzeko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hitzartze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prozesuaren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gaineko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informazioa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Kantauri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Ekialdeko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Demarkazio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Hidrografikoaren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EAEko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Barneko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Arroen</w:t>
      </w:r>
      <w:proofErr w:type="spellEnd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Eremuan</w:t>
      </w:r>
      <w:proofErr w:type="spellEnd"/>
      <w:r w:rsidR="007610C1" w:rsidRP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.</w:t>
      </w:r>
    </w:p>
    <w:p w:rsidR="007537A2" w:rsidRPr="007537A2" w:rsidRDefault="007537A2" w:rsidP="00ED072E">
      <w:pPr>
        <w:pStyle w:val="Zerrenda-paragrafoa"/>
        <w:numPr>
          <w:ilvl w:val="0"/>
          <w:numId w:val="1"/>
        </w:numPr>
        <w:spacing w:before="10" w:after="10" w:line="360" w:lineRule="auto"/>
        <w:ind w:left="0" w:firstLine="0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>
        <w:rPr>
          <w:rFonts w:ascii="Verdana" w:eastAsia="Times" w:hAnsi="Verdana" w:cs="Times New Roman"/>
          <w:sz w:val="20"/>
          <w:szCs w:val="20"/>
          <w:lang w:val="de-DE" w:eastAsia="es-ES"/>
        </w:rPr>
        <w:t>Galdera-Erantzunak</w:t>
      </w:r>
    </w:p>
    <w:p w:rsidR="007537A2" w:rsidRDefault="007537A2" w:rsidP="00CF0BE0">
      <w:pPr>
        <w:spacing w:before="10" w:after="10" w:line="360" w:lineRule="auto"/>
        <w:jc w:val="center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:rsidR="002C396B" w:rsidRPr="00850740" w:rsidRDefault="002C396B" w:rsidP="002C396B">
      <w:pPr>
        <w:spacing w:line="360" w:lineRule="auto"/>
        <w:rPr>
          <w:rFonts w:ascii="Verdana" w:hAnsi="Verdana"/>
          <w:b/>
          <w:sz w:val="20"/>
          <w:lang w:val="es-ES_tradnl"/>
        </w:rPr>
      </w:pPr>
      <w:proofErr w:type="spellStart"/>
      <w:r w:rsidRPr="00850740">
        <w:rPr>
          <w:rFonts w:ascii="Verdana" w:hAnsi="Verdana"/>
          <w:b/>
          <w:sz w:val="20"/>
          <w:lang w:val="es-ES_tradnl"/>
        </w:rPr>
        <w:t>Adostutako</w:t>
      </w:r>
      <w:proofErr w:type="spellEnd"/>
      <w:r w:rsidRPr="00850740">
        <w:rPr>
          <w:rFonts w:ascii="Verdana" w:hAnsi="Verdana"/>
          <w:b/>
          <w:sz w:val="20"/>
          <w:lang w:val="es-ES_tradnl"/>
        </w:rPr>
        <w:t xml:space="preserve"> </w:t>
      </w:r>
      <w:proofErr w:type="spellStart"/>
      <w:r w:rsidRPr="00850740">
        <w:rPr>
          <w:rFonts w:ascii="Verdana" w:hAnsi="Verdana"/>
          <w:b/>
          <w:sz w:val="20"/>
          <w:lang w:val="es-ES_tradnl"/>
        </w:rPr>
        <w:t>akordioak</w:t>
      </w:r>
      <w:proofErr w:type="spellEnd"/>
    </w:p>
    <w:p w:rsidR="002C396B" w:rsidRPr="007258E1" w:rsidRDefault="002C396B" w:rsidP="002C396B">
      <w:pPr>
        <w:pStyle w:val="Zerrenda-paragrafoa"/>
        <w:numPr>
          <w:ilvl w:val="0"/>
          <w:numId w:val="2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>
        <w:rPr>
          <w:rFonts w:ascii="Verdana" w:hAnsi="Verdana"/>
          <w:sz w:val="20"/>
          <w:lang w:val="de-DE"/>
        </w:rPr>
        <w:t>2013ko abenduaren 19ko bilera akta onartzen da.</w:t>
      </w:r>
    </w:p>
    <w:p w:rsidR="002C396B" w:rsidRPr="002C396B" w:rsidRDefault="002C396B" w:rsidP="002C396B">
      <w:pPr>
        <w:pStyle w:val="Zerrenda-paragrafoa"/>
        <w:numPr>
          <w:ilvl w:val="0"/>
          <w:numId w:val="2"/>
        </w:numPr>
        <w:spacing w:before="10" w:after="10" w:line="360" w:lineRule="auto"/>
        <w:ind w:left="426"/>
        <w:jc w:val="both"/>
        <w:rPr>
          <w:rFonts w:ascii="Verdana" w:eastAsia="Times" w:hAnsi="Verdana" w:cs="Times New Roman"/>
          <w:sz w:val="20"/>
          <w:szCs w:val="20"/>
          <w:lang w:val="de-DE" w:eastAsia="es-ES"/>
        </w:rPr>
      </w:pPr>
      <w:r w:rsidRPr="007610C1">
        <w:rPr>
          <w:rFonts w:ascii="Verdana" w:eastAsia="Times" w:hAnsi="Verdana" w:cs="Times New Roman"/>
          <w:sz w:val="20"/>
          <w:szCs w:val="20"/>
          <w:lang w:val="de-DE" w:eastAsia="es-ES"/>
        </w:rPr>
        <w:t>Plangintzaren bigarren zikloko (2015-2021) Uraren kudeaketaren inguruko Gai Nagusien Behin-behineko Eskema</w:t>
      </w:r>
      <w:r>
        <w:rPr>
          <w:rFonts w:ascii="Verdana" w:eastAsia="Times" w:hAnsi="Verdana" w:cs="Times New Roman"/>
          <w:sz w:val="20"/>
          <w:szCs w:val="20"/>
          <w:lang w:val="de-DE" w:eastAsia="es-ES"/>
        </w:rPr>
        <w:t xml:space="preserve"> aldeko d</w:t>
      </w:r>
      <w:r w:rsidRPr="002C396B">
        <w:rPr>
          <w:rFonts w:ascii="Verdana" w:eastAsia="Times" w:hAnsi="Verdana" w:cs="Times New Roman"/>
          <w:sz w:val="20"/>
          <w:szCs w:val="20"/>
          <w:lang w:val="de-DE" w:eastAsia="es-ES"/>
        </w:rPr>
        <w:t>errigorrezko txostena</w:t>
      </w:r>
      <w:r>
        <w:rPr>
          <w:rFonts w:ascii="Verdana" w:eastAsia="Times" w:hAnsi="Verdana" w:cs="Times New Roman"/>
          <w:sz w:val="20"/>
          <w:szCs w:val="20"/>
          <w:lang w:val="de-DE" w:eastAsia="es-ES"/>
        </w:rPr>
        <w:t>.</w:t>
      </w:r>
    </w:p>
    <w:p w:rsidR="002C396B" w:rsidRDefault="002C396B" w:rsidP="00CF0BE0">
      <w:pPr>
        <w:spacing w:before="10" w:after="10" w:line="360" w:lineRule="auto"/>
        <w:jc w:val="center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</w:p>
    <w:p w:rsidR="007537A2" w:rsidRPr="00ED072E" w:rsidRDefault="007537A2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</w:pPr>
      <w:r w:rsidRPr="00ED072E">
        <w:rPr>
          <w:rFonts w:ascii="Verdana" w:eastAsia="Times" w:hAnsi="Verdana" w:cs="Times New Roman"/>
          <w:b/>
          <w:sz w:val="20"/>
          <w:szCs w:val="20"/>
          <w:u w:val="single"/>
          <w:lang w:val="de-DE" w:eastAsia="es-ES"/>
        </w:rPr>
        <w:br w:type="column"/>
      </w:r>
    </w:p>
    <w:p w:rsidR="00CF0BE0" w:rsidRPr="00750812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CONSEJO DEL AGUA</w:t>
      </w:r>
    </w:p>
    <w:p w:rsidR="00CF0BE0" w:rsidRPr="00750812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CF0BE0" w:rsidRDefault="007537A2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6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de 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octubre</w:t>
      </w:r>
      <w:r w:rsidR="00CF0BE0" w:rsidRPr="00750812"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 xml:space="preserve"> de 201</w:t>
      </w:r>
      <w:r>
        <w:rPr>
          <w:rFonts w:ascii="Verdana" w:eastAsia="Times" w:hAnsi="Verdana" w:cs="Times New Roman"/>
          <w:b/>
          <w:sz w:val="20"/>
          <w:szCs w:val="20"/>
          <w:u w:val="single"/>
          <w:lang w:val="es-ES_tradnl" w:eastAsia="es-ES"/>
        </w:rPr>
        <w:t>4</w:t>
      </w:r>
    </w:p>
    <w:p w:rsidR="005473FE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CF0BE0" w:rsidRPr="005473FE" w:rsidRDefault="005473FE" w:rsidP="00CF0BE0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5473FE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Orden del día:</w:t>
      </w:r>
    </w:p>
    <w:p w:rsidR="00CF0BE0" w:rsidRPr="00CF0BE0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F0BE0">
        <w:rPr>
          <w:rFonts w:ascii="Verdana" w:eastAsia="Times" w:hAnsi="Verdana" w:cs="Times New Roman"/>
          <w:sz w:val="20"/>
          <w:szCs w:val="20"/>
          <w:lang w:val="es-ES_tradnl" w:eastAsia="es-ES"/>
        </w:rPr>
        <w:t>1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º</w:t>
      </w:r>
      <w:r w:rsidRPr="00CF0BE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Aprobación, si procede, del acta de la sesión anterior.</w:t>
      </w:r>
    </w:p>
    <w:p w:rsidR="00CF0BE0" w:rsidRDefault="00CF0BE0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 w:rsidRPr="00CF0BE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2º </w:t>
      </w:r>
      <w:r w:rsidR="007537A2">
        <w:rPr>
          <w:rFonts w:ascii="Verdana" w:eastAsia="Times" w:hAnsi="Verdana" w:cs="Times New Roman"/>
          <w:sz w:val="20"/>
          <w:szCs w:val="20"/>
          <w:lang w:val="es-ES_tradnl" w:eastAsia="es-ES"/>
        </w:rPr>
        <w:t>Esquema Provisional de Temas Importantes en materia de gestión de aguas del segundo ciclo de planificación 2015-2021. Em</w:t>
      </w:r>
      <w:r w:rsidR="007610C1">
        <w:rPr>
          <w:rFonts w:ascii="Verdana" w:eastAsia="Times" w:hAnsi="Verdana" w:cs="Times New Roman"/>
          <w:sz w:val="20"/>
          <w:szCs w:val="20"/>
          <w:lang w:val="es-ES_tradnl" w:eastAsia="es-ES"/>
        </w:rPr>
        <w:t>i</w:t>
      </w:r>
      <w:r w:rsidR="007537A2">
        <w:rPr>
          <w:rFonts w:ascii="Verdana" w:eastAsia="Times" w:hAnsi="Verdana" w:cs="Times New Roman"/>
          <w:sz w:val="20"/>
          <w:szCs w:val="20"/>
          <w:lang w:val="es-ES_tradnl" w:eastAsia="es-ES"/>
        </w:rPr>
        <w:t>sión informe preceptivo.</w:t>
      </w:r>
    </w:p>
    <w:p w:rsidR="007610C1" w:rsidRPr="00750812" w:rsidRDefault="00CF0BE0" w:rsidP="007610C1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eastAsia="es-ES"/>
        </w:rPr>
      </w:pPr>
      <w:r w:rsidRPr="00CF0BE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3º </w:t>
      </w:r>
      <w:r w:rsidR="003B41D6">
        <w:rPr>
          <w:rFonts w:ascii="Verdana" w:eastAsia="Times" w:hAnsi="Verdana" w:cs="Times New Roman"/>
          <w:sz w:val="20"/>
          <w:szCs w:val="20"/>
          <w:lang w:eastAsia="es-ES"/>
        </w:rPr>
        <w:t>Información sobre el P</w:t>
      </w:r>
      <w:r w:rsidR="007610C1">
        <w:rPr>
          <w:rFonts w:ascii="Verdana" w:eastAsia="Times" w:hAnsi="Verdana" w:cs="Times New Roman"/>
          <w:sz w:val="20"/>
          <w:szCs w:val="20"/>
          <w:lang w:eastAsia="es-ES"/>
        </w:rPr>
        <w:t>roceso de Concertación  para la implantación del régimen de caudales ecológicos en la Demarcación Hidrográfica del Cantábrico Oriental</w:t>
      </w:r>
      <w:r w:rsidR="003B41D6">
        <w:rPr>
          <w:rFonts w:ascii="Verdana" w:eastAsia="Times" w:hAnsi="Verdana" w:cs="Times New Roman"/>
          <w:sz w:val="20"/>
          <w:szCs w:val="20"/>
          <w:lang w:eastAsia="es-ES"/>
        </w:rPr>
        <w:t>,</w:t>
      </w:r>
      <w:r w:rsidR="007610C1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 w:rsidR="003B41D6">
        <w:rPr>
          <w:rFonts w:ascii="Verdana" w:eastAsia="Times" w:hAnsi="Verdana" w:cs="Times New Roman"/>
          <w:sz w:val="20"/>
          <w:szCs w:val="20"/>
          <w:lang w:eastAsia="es-ES"/>
        </w:rPr>
        <w:t xml:space="preserve">en el </w:t>
      </w:r>
      <w:r w:rsidR="007610C1">
        <w:rPr>
          <w:rFonts w:ascii="Verdana" w:eastAsia="Times" w:hAnsi="Verdana" w:cs="Times New Roman"/>
          <w:sz w:val="20"/>
          <w:szCs w:val="20"/>
          <w:lang w:eastAsia="es-ES"/>
        </w:rPr>
        <w:t xml:space="preserve">ámbito de las </w:t>
      </w:r>
      <w:r w:rsidR="003B41D6">
        <w:rPr>
          <w:rFonts w:ascii="Verdana" w:eastAsia="Times" w:hAnsi="Verdana" w:cs="Times New Roman"/>
          <w:sz w:val="20"/>
          <w:szCs w:val="20"/>
          <w:lang w:eastAsia="es-ES"/>
        </w:rPr>
        <w:t>Cuencas Internas del País Vasco.</w:t>
      </w:r>
      <w:r w:rsidR="007610C1">
        <w:rPr>
          <w:rFonts w:ascii="Verdana" w:eastAsia="Times" w:hAnsi="Verdana" w:cs="Times New Roman"/>
          <w:sz w:val="20"/>
          <w:szCs w:val="20"/>
          <w:lang w:val="es-ES_tradnl" w:eastAsia="es-ES"/>
        </w:rPr>
        <w:br/>
        <w:t>4º</w:t>
      </w:r>
      <w:r w:rsidR="007610C1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 xml:space="preserve">.- </w:t>
      </w:r>
      <w:proofErr w:type="spellStart"/>
      <w:r w:rsidR="007610C1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Ruegos</w:t>
      </w:r>
      <w:proofErr w:type="spellEnd"/>
      <w:r w:rsidR="007610C1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 xml:space="preserve"> y </w:t>
      </w:r>
      <w:proofErr w:type="spellStart"/>
      <w:r w:rsidR="007610C1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preguntas</w:t>
      </w:r>
      <w:proofErr w:type="spellEnd"/>
      <w:r w:rsidR="007610C1" w:rsidRPr="00750812">
        <w:rPr>
          <w:rFonts w:ascii="Verdana" w:eastAsia="Times" w:hAnsi="Verdana" w:cs="Times New Roman"/>
          <w:sz w:val="20"/>
          <w:szCs w:val="20"/>
          <w:lang w:val="eu-ES" w:eastAsia="es-ES"/>
        </w:rPr>
        <w:t>.</w:t>
      </w:r>
    </w:p>
    <w:p w:rsidR="007610C1" w:rsidRDefault="007610C1" w:rsidP="007610C1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</w:p>
    <w:p w:rsidR="00CF0BE0" w:rsidRPr="00750812" w:rsidRDefault="00CF0BE0" w:rsidP="007610C1">
      <w:pPr>
        <w:spacing w:before="10" w:after="10" w:line="360" w:lineRule="auto"/>
        <w:jc w:val="both"/>
        <w:rPr>
          <w:rFonts w:ascii="Verdana" w:eastAsia="Times" w:hAnsi="Verdana" w:cs="Times New Roman"/>
          <w:b/>
          <w:sz w:val="20"/>
          <w:szCs w:val="20"/>
          <w:lang w:val="es-ES_tradnl" w:eastAsia="es-ES"/>
        </w:rPr>
      </w:pPr>
      <w:r w:rsidRPr="00750812"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Acuerdos adoptados:</w:t>
      </w:r>
    </w:p>
    <w:p w:rsidR="00CF0BE0" w:rsidRPr="00750812" w:rsidRDefault="008456FD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/>
      </w:r>
      <w:bookmarkStart w:id="0" w:name="_GoBack"/>
      <w:bookmarkEnd w:id="0"/>
      <w:r w:rsidR="00CF0BE0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-Se ap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rueba el acta de la reunión de 19</w:t>
      </w:r>
      <w:r w:rsidR="00CF0BE0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diciembre</w:t>
      </w:r>
      <w:r w:rsidR="00CF0BE0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de 201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3</w:t>
      </w:r>
      <w:r w:rsidR="00CF0BE0"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.</w:t>
      </w:r>
    </w:p>
    <w:p w:rsidR="002C396B" w:rsidRDefault="00CF0BE0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b/>
          <w:sz w:val="20"/>
          <w:szCs w:val="20"/>
          <w:lang w:val="es-ES_tradnl" w:eastAsia="es-ES"/>
        </w:rPr>
        <w:t>-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Se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emite informe favorable </w:t>
      </w:r>
      <w:r w:rsidR="002C396B" w:rsidRPr="00CF0BE0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2º </w:t>
      </w:r>
      <w:r w:rsid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Esquema Provisional de Temas Importantes en materia de gestión de aguas del segundo ciclo de planificación 2015-2021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</w:p>
    <w:p w:rsidR="002C396B" w:rsidRDefault="002C396B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:rsidR="003B41D6" w:rsidRDefault="003B41D6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:rsidR="003B41D6" w:rsidRDefault="003B41D6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</w:p>
    <w:p w:rsidR="002C396B" w:rsidRPr="00E36FA4" w:rsidRDefault="002C396B" w:rsidP="002C396B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 xml:space="preserve">-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Informazio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="00484E2B">
        <w:rPr>
          <w:rFonts w:ascii="Verdana" w:eastAsia="Times" w:hAnsi="Verdana" w:cs="Times New Roman"/>
          <w:sz w:val="20"/>
          <w:szCs w:val="20"/>
          <w:lang w:val="es-ES_tradnl" w:eastAsia="es-ES"/>
        </w:rPr>
        <w:t>ematen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da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Emari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ekologikoen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erregimena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ezartzeko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hitzartze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prozesuaren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gainean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Kantauri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Ekialdeko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Demarkazio</w:t>
      </w:r>
      <w:proofErr w:type="spellEnd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2C396B">
        <w:rPr>
          <w:rFonts w:ascii="Verdana" w:eastAsia="Times" w:hAnsi="Verdana" w:cs="Times New Roman"/>
          <w:sz w:val="20"/>
          <w:szCs w:val="20"/>
          <w:lang w:val="es-ES_tradnl" w:eastAsia="es-ES"/>
        </w:rPr>
        <w:t>Hidrografikoan</w:t>
      </w:r>
      <w:proofErr w:type="spellEnd"/>
      <w:r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(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Euskal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Autonomia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Erkidegoko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Barneko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Arroen</w:t>
      </w:r>
      <w:proofErr w:type="spellEnd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E36FA4">
        <w:rPr>
          <w:rFonts w:ascii="Verdana" w:eastAsia="Times" w:hAnsi="Verdana" w:cs="Times New Roman"/>
          <w:sz w:val="20"/>
          <w:szCs w:val="20"/>
          <w:lang w:val="es-ES_tradnl" w:eastAsia="es-ES"/>
        </w:rPr>
        <w:t>eremuan</w:t>
      </w:r>
      <w:proofErr w:type="spellEnd"/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)</w:t>
      </w:r>
    </w:p>
    <w:p w:rsidR="00CF0BE0" w:rsidRDefault="002C396B" w:rsidP="00CF0BE0">
      <w:pPr>
        <w:spacing w:before="10" w:after="10" w:line="360" w:lineRule="auto"/>
        <w:jc w:val="both"/>
        <w:rPr>
          <w:rFonts w:ascii="Verdana" w:eastAsia="Times" w:hAnsi="Verdana" w:cs="Times New Roman"/>
          <w:sz w:val="20"/>
          <w:szCs w:val="20"/>
          <w:lang w:val="es-ES_tradnl" w:eastAsia="es-ES"/>
        </w:rPr>
      </w:pPr>
      <w:r>
        <w:rPr>
          <w:rFonts w:ascii="Verdana" w:eastAsia="Times" w:hAnsi="Verdana" w:cs="Times New Roman"/>
          <w:sz w:val="20"/>
          <w:szCs w:val="20"/>
          <w:lang w:val="es-ES_tradnl" w:eastAsia="es-ES"/>
        </w:rPr>
        <w:br w:type="column"/>
      </w:r>
      <w:r w:rsidR="00CF0BE0">
        <w:rPr>
          <w:rFonts w:ascii="Verdana" w:eastAsia="Times" w:hAnsi="Verdana" w:cs="Times New Roman"/>
          <w:sz w:val="20"/>
          <w:szCs w:val="20"/>
          <w:lang w:val="es-ES_tradnl" w:eastAsia="es-ES"/>
        </w:rPr>
        <w:lastRenderedPageBreak/>
        <w:t>-</w:t>
      </w:r>
      <w:r w:rsidRPr="00750812">
        <w:rPr>
          <w:rFonts w:ascii="Verdana" w:eastAsia="Times" w:hAnsi="Verdana" w:cs="Times New Roman"/>
          <w:sz w:val="20"/>
          <w:szCs w:val="20"/>
          <w:lang w:val="es-ES_tradnl" w:eastAsia="es-ES"/>
        </w:rPr>
        <w:t>-</w:t>
      </w:r>
      <w:r w:rsidRPr="007258E1">
        <w:rPr>
          <w:rFonts w:ascii="Verdana" w:eastAsia="Times" w:hAnsi="Verdana" w:cs="Times New Roman"/>
          <w:sz w:val="20"/>
          <w:szCs w:val="20"/>
          <w:lang w:eastAsia="es-ES"/>
        </w:rPr>
        <w:t xml:space="preserve"> 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Se </w:t>
      </w:r>
      <w:r w:rsidR="00484E2B">
        <w:rPr>
          <w:rFonts w:ascii="Verdana" w:eastAsia="Times" w:hAnsi="Verdana" w:cs="Times New Roman"/>
          <w:sz w:val="20"/>
          <w:szCs w:val="20"/>
          <w:lang w:eastAsia="es-ES"/>
        </w:rPr>
        <w:t>informa</w:t>
      </w:r>
      <w:r>
        <w:rPr>
          <w:rFonts w:ascii="Verdana" w:eastAsia="Times" w:hAnsi="Verdana" w:cs="Times New Roman"/>
          <w:sz w:val="20"/>
          <w:szCs w:val="20"/>
          <w:lang w:eastAsia="es-ES"/>
        </w:rPr>
        <w:t xml:space="preserve"> sobre el proceso de Concertación para la implantación del régimen de caudales ecológicos en la Demarcación Hidrográfica del Cantábrico Oriental </w:t>
      </w:r>
      <w:r>
        <w:rPr>
          <w:rFonts w:ascii="Verdana" w:eastAsia="Times" w:hAnsi="Verdana" w:cs="Times New Roman"/>
          <w:sz w:val="20"/>
          <w:szCs w:val="20"/>
          <w:lang w:val="es-ES_tradnl" w:eastAsia="es-ES"/>
        </w:rPr>
        <w:t>(ámbito de las Cuencas Internas del País Vasco).</w:t>
      </w:r>
    </w:p>
    <w:p w:rsidR="007537A2" w:rsidRPr="00CF0BE0" w:rsidRDefault="007537A2">
      <w:pPr>
        <w:rPr>
          <w:lang w:val="es-ES_tradnl"/>
        </w:rPr>
      </w:pPr>
    </w:p>
    <w:sectPr w:rsidR="007537A2" w:rsidRPr="00CF0BE0" w:rsidSect="007537A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2E" w:rsidRDefault="00ED072E">
      <w:pPr>
        <w:spacing w:after="0" w:line="240" w:lineRule="auto"/>
      </w:pPr>
      <w:r>
        <w:separator/>
      </w:r>
    </w:p>
  </w:endnote>
  <w:endnote w:type="continuationSeparator" w:id="0">
    <w:p w:rsidR="00ED072E" w:rsidRDefault="00E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2E" w:rsidRDefault="00ED072E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ED072E" w:rsidRDefault="00ED072E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ED072E" w:rsidRDefault="00ED072E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2E" w:rsidRDefault="00ED072E">
      <w:pPr>
        <w:spacing w:after="0" w:line="240" w:lineRule="auto"/>
      </w:pPr>
      <w:r>
        <w:separator/>
      </w:r>
    </w:p>
  </w:footnote>
  <w:footnote w:type="continuationSeparator" w:id="0">
    <w:p w:rsidR="00ED072E" w:rsidRDefault="00E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2E" w:rsidRDefault="00ED07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2E" w:rsidRDefault="00ED072E">
    <w:pPr>
      <w:pStyle w:val="Goiburua"/>
    </w:pPr>
    <w:r>
      <w:rPr>
        <w:noProof/>
        <w:lang w:val="eu-ES" w:eastAsia="eu-ES"/>
      </w:rPr>
      <w:drawing>
        <wp:inline distT="0" distB="0" distL="0" distR="0" wp14:anchorId="1970B236" wp14:editId="137184D5">
          <wp:extent cx="685800" cy="666750"/>
          <wp:effectExtent l="0" t="0" r="0" b="0"/>
          <wp:docPr id="1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2E" w:rsidRDefault="00ED072E">
    <w:pPr>
      <w:pStyle w:val="Goiburua"/>
    </w:pPr>
    <w:r>
      <w:rPr>
        <w:noProof/>
        <w:lang w:val="eu-ES" w:eastAsia="eu-ES"/>
      </w:rPr>
      <w:drawing>
        <wp:inline distT="0" distB="0" distL="0" distR="0" wp14:anchorId="0501903C" wp14:editId="280711C2">
          <wp:extent cx="685800" cy="1209675"/>
          <wp:effectExtent l="0" t="0" r="0" b="9525"/>
          <wp:docPr id="2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644"/>
    <w:multiLevelType w:val="hybridMultilevel"/>
    <w:tmpl w:val="3D6E04DC"/>
    <w:lvl w:ilvl="0" w:tplc="196C9478">
      <w:start w:val="6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3178"/>
    <w:multiLevelType w:val="hybridMultilevel"/>
    <w:tmpl w:val="A3F462A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E0"/>
    <w:rsid w:val="000C1897"/>
    <w:rsid w:val="00286971"/>
    <w:rsid w:val="002C396B"/>
    <w:rsid w:val="00317485"/>
    <w:rsid w:val="003B41D6"/>
    <w:rsid w:val="00484E2B"/>
    <w:rsid w:val="005473FE"/>
    <w:rsid w:val="007537A2"/>
    <w:rsid w:val="007610C1"/>
    <w:rsid w:val="008456FD"/>
    <w:rsid w:val="009620E0"/>
    <w:rsid w:val="00CF0BE0"/>
    <w:rsid w:val="00ED072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F0BE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F0BE0"/>
  </w:style>
  <w:style w:type="paragraph" w:styleId="Orri-oina">
    <w:name w:val="footer"/>
    <w:basedOn w:val="Normala"/>
    <w:link w:val="Orri-oin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F0BE0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0BE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5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F0BE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F0BE0"/>
  </w:style>
  <w:style w:type="paragraph" w:styleId="Orri-oina">
    <w:name w:val="footer"/>
    <w:basedOn w:val="Normala"/>
    <w:link w:val="Orri-oinaKar"/>
    <w:uiPriority w:val="99"/>
    <w:semiHidden/>
    <w:unhideWhenUsed/>
    <w:rsid w:val="00CF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F0BE0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0BE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7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2</cp:revision>
  <cp:lastPrinted>2014-05-26T09:27:00Z</cp:lastPrinted>
  <dcterms:created xsi:type="dcterms:W3CDTF">2016-02-04T15:30:00Z</dcterms:created>
  <dcterms:modified xsi:type="dcterms:W3CDTF">2016-02-04T15:30:00Z</dcterms:modified>
</cp:coreProperties>
</file>