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4C" w:rsidRPr="001B21D5" w:rsidRDefault="00A04C4C" w:rsidP="00B40405">
      <w:pPr>
        <w:spacing w:before="12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  <w:r w:rsidRPr="001B21D5">
        <w:rPr>
          <w:rFonts w:ascii="Arial" w:hAnsi="Arial" w:cs="Arial"/>
          <w:b/>
          <w:u w:val="single"/>
          <w:lang w:val="es-ES"/>
        </w:rPr>
        <w:t xml:space="preserve">1- </w:t>
      </w:r>
      <w:r w:rsidR="007D7F1A">
        <w:rPr>
          <w:rFonts w:ascii="Arial" w:hAnsi="Arial" w:cs="Arial"/>
          <w:b/>
          <w:u w:val="single"/>
          <w:lang w:val="es-ES"/>
        </w:rPr>
        <w:t>INSTALACIONES LASARTE</w:t>
      </w:r>
    </w:p>
    <w:p w:rsidR="00F64FA5" w:rsidRPr="00F64FA5" w:rsidRDefault="00F64FA5" w:rsidP="001B21D5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 w:rsidRPr="00F64FA5">
        <w:rPr>
          <w:rFonts w:ascii="Arial" w:hAnsi="Arial" w:cs="Arial"/>
          <w:sz w:val="22"/>
          <w:szCs w:val="22"/>
          <w:lang w:val="es-ES"/>
        </w:rPr>
        <w:t xml:space="preserve">La Fábrica de Lasarte de </w:t>
      </w:r>
      <w:r w:rsidRPr="00F64FA5">
        <w:rPr>
          <w:rFonts w:ascii="Arial" w:hAnsi="Arial" w:cs="Arial"/>
          <w:caps/>
          <w:sz w:val="22"/>
          <w:szCs w:val="22"/>
          <w:lang w:val="es-ES"/>
        </w:rPr>
        <w:t>Michelin</w:t>
      </w:r>
      <w:r w:rsidRPr="00F64FA5">
        <w:rPr>
          <w:rFonts w:ascii="Arial" w:hAnsi="Arial" w:cs="Arial"/>
          <w:sz w:val="22"/>
          <w:szCs w:val="22"/>
          <w:lang w:val="es-ES"/>
        </w:rPr>
        <w:t xml:space="preserve"> fabric</w:t>
      </w:r>
      <w:r w:rsidR="007D7F1A">
        <w:rPr>
          <w:rFonts w:ascii="Arial" w:hAnsi="Arial" w:cs="Arial"/>
          <w:sz w:val="22"/>
          <w:szCs w:val="22"/>
          <w:lang w:val="es-ES"/>
        </w:rPr>
        <w:t>a</w:t>
      </w:r>
      <w:r w:rsidRPr="00F64FA5">
        <w:rPr>
          <w:rFonts w:ascii="Arial" w:hAnsi="Arial" w:cs="Arial"/>
          <w:sz w:val="22"/>
          <w:szCs w:val="22"/>
          <w:lang w:val="es-ES"/>
        </w:rPr>
        <w:t xml:space="preserve"> neumáticos de moto y </w:t>
      </w:r>
      <w:r w:rsidR="007D7F1A">
        <w:rPr>
          <w:rFonts w:ascii="Arial" w:hAnsi="Arial" w:cs="Arial"/>
          <w:sz w:val="22"/>
          <w:szCs w:val="22"/>
          <w:lang w:val="es-ES"/>
        </w:rPr>
        <w:t xml:space="preserve">productos </w:t>
      </w:r>
      <w:proofErr w:type="spellStart"/>
      <w:r w:rsidR="007D7F1A">
        <w:rPr>
          <w:rFonts w:ascii="Arial" w:hAnsi="Arial" w:cs="Arial"/>
          <w:sz w:val="22"/>
          <w:szCs w:val="22"/>
          <w:lang w:val="es-ES"/>
        </w:rPr>
        <w:t>se</w:t>
      </w:r>
      <w:r w:rsidRPr="00F64FA5">
        <w:rPr>
          <w:rFonts w:ascii="Arial" w:hAnsi="Arial" w:cs="Arial"/>
          <w:sz w:val="22"/>
          <w:szCs w:val="22"/>
          <w:lang w:val="es-ES"/>
        </w:rPr>
        <w:t>miterminados</w:t>
      </w:r>
      <w:proofErr w:type="spellEnd"/>
      <w:r w:rsidRPr="00F64FA5">
        <w:rPr>
          <w:rFonts w:ascii="Arial" w:hAnsi="Arial" w:cs="Arial"/>
          <w:sz w:val="22"/>
          <w:szCs w:val="22"/>
          <w:lang w:val="es-ES"/>
        </w:rPr>
        <w:t>,</w:t>
      </w:r>
      <w:r w:rsidR="007D7F1A">
        <w:rPr>
          <w:rFonts w:ascii="Arial" w:hAnsi="Arial" w:cs="Arial"/>
          <w:sz w:val="22"/>
          <w:szCs w:val="22"/>
          <w:lang w:val="es-ES"/>
        </w:rPr>
        <w:t xml:space="preserve"> que son tejido textil, tejido metálico y membranas.</w:t>
      </w:r>
      <w:r w:rsidRPr="00F64FA5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F64FA5" w:rsidRDefault="007D7F1A" w:rsidP="001B21D5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Como </w:t>
      </w:r>
      <w:r w:rsidR="00F64FA5" w:rsidRPr="00F64FA5">
        <w:rPr>
          <w:rFonts w:ascii="Arial" w:hAnsi="Arial" w:cs="Arial"/>
          <w:sz w:val="22"/>
          <w:szCs w:val="22"/>
          <w:lang w:val="es-ES"/>
        </w:rPr>
        <w:t>actividades auxiliares</w:t>
      </w:r>
      <w:r>
        <w:rPr>
          <w:rFonts w:ascii="Arial" w:hAnsi="Arial" w:cs="Arial"/>
          <w:sz w:val="22"/>
          <w:szCs w:val="22"/>
          <w:lang w:val="es-ES"/>
        </w:rPr>
        <w:t>, propias de la</w:t>
      </w:r>
      <w:r w:rsidR="00F64FA5" w:rsidRPr="00F64FA5">
        <w:rPr>
          <w:rFonts w:ascii="Arial" w:hAnsi="Arial" w:cs="Arial"/>
          <w:sz w:val="22"/>
          <w:szCs w:val="22"/>
          <w:lang w:val="es-ES"/>
        </w:rPr>
        <w:t xml:space="preserve"> actividad industrial</w:t>
      </w:r>
      <w:r w:rsidR="00F64FA5">
        <w:rPr>
          <w:rFonts w:ascii="Arial" w:hAnsi="Arial" w:cs="Arial"/>
          <w:sz w:val="22"/>
          <w:szCs w:val="22"/>
          <w:lang w:val="es-ES"/>
        </w:rPr>
        <w:t xml:space="preserve">, </w:t>
      </w:r>
      <w:r>
        <w:rPr>
          <w:rFonts w:ascii="Arial" w:hAnsi="Arial" w:cs="Arial"/>
          <w:sz w:val="22"/>
          <w:szCs w:val="22"/>
          <w:lang w:val="es-ES"/>
        </w:rPr>
        <w:t xml:space="preserve">está </w:t>
      </w:r>
      <w:r w:rsidR="00F64FA5">
        <w:rPr>
          <w:rFonts w:ascii="Arial" w:hAnsi="Arial" w:cs="Arial"/>
          <w:sz w:val="22"/>
          <w:szCs w:val="22"/>
          <w:lang w:val="es-ES"/>
        </w:rPr>
        <w:t xml:space="preserve">la </w:t>
      </w:r>
      <w:r w:rsidR="00F64FA5" w:rsidRPr="00F64FA5">
        <w:rPr>
          <w:rFonts w:ascii="Arial" w:hAnsi="Arial" w:cs="Arial"/>
          <w:sz w:val="22"/>
          <w:szCs w:val="22"/>
          <w:lang w:val="es-ES"/>
        </w:rPr>
        <w:t xml:space="preserve">producción de vapor y </w:t>
      </w:r>
      <w:r w:rsidR="00F64FA5">
        <w:rPr>
          <w:rFonts w:ascii="Arial" w:hAnsi="Arial" w:cs="Arial"/>
          <w:sz w:val="22"/>
          <w:szCs w:val="22"/>
          <w:lang w:val="es-ES"/>
        </w:rPr>
        <w:t xml:space="preserve">de </w:t>
      </w:r>
      <w:r w:rsidR="00F64FA5" w:rsidRPr="00F64FA5">
        <w:rPr>
          <w:rFonts w:ascii="Arial" w:hAnsi="Arial" w:cs="Arial"/>
          <w:sz w:val="22"/>
          <w:szCs w:val="22"/>
          <w:lang w:val="es-ES"/>
        </w:rPr>
        <w:t>energía</w:t>
      </w:r>
      <w:r w:rsidR="00BA626D">
        <w:rPr>
          <w:rFonts w:ascii="Arial" w:hAnsi="Arial" w:cs="Arial"/>
          <w:sz w:val="22"/>
          <w:szCs w:val="22"/>
          <w:lang w:val="es-ES"/>
        </w:rPr>
        <w:t xml:space="preserve">, estando, parte de estas instalaciones, afectadas por la normativa referente a gases de efecto invernadero. </w:t>
      </w:r>
    </w:p>
    <w:p w:rsidR="007D7F1A" w:rsidRDefault="007D7F1A" w:rsidP="007D7F1A">
      <w:pPr>
        <w:spacing w:before="60" w:line="240" w:lineRule="exact"/>
        <w:jc w:val="both"/>
        <w:rPr>
          <w:rFonts w:ascii="Arial" w:hAnsi="Arial" w:cs="Arial"/>
          <w:sz w:val="22"/>
          <w:szCs w:val="22"/>
          <w:lang w:val="es-ES"/>
        </w:rPr>
      </w:pPr>
      <w:r w:rsidRPr="00D6322A">
        <w:rPr>
          <w:rFonts w:ascii="Arial" w:hAnsi="Arial" w:cs="Arial"/>
          <w:sz w:val="22"/>
          <w:szCs w:val="22"/>
          <w:lang w:val="es-ES"/>
        </w:rPr>
        <w:t xml:space="preserve">La relación de las instalaciones afectadas por las emisiones de </w:t>
      </w:r>
      <w:proofErr w:type="spellStart"/>
      <w:r w:rsidRPr="00D6322A">
        <w:rPr>
          <w:rFonts w:ascii="Arial" w:hAnsi="Arial" w:cs="Arial"/>
          <w:sz w:val="22"/>
          <w:szCs w:val="22"/>
          <w:lang w:val="es-ES"/>
        </w:rPr>
        <w:t>GEI</w:t>
      </w:r>
      <w:proofErr w:type="spellEnd"/>
      <w:r w:rsidRPr="00D6322A">
        <w:rPr>
          <w:rFonts w:ascii="Arial" w:hAnsi="Arial" w:cs="Arial"/>
          <w:sz w:val="22"/>
          <w:szCs w:val="22"/>
          <w:lang w:val="es-ES"/>
        </w:rPr>
        <w:t xml:space="preserve"> es:</w:t>
      </w:r>
    </w:p>
    <w:p w:rsidR="007D7F1A" w:rsidRPr="00D6322A" w:rsidRDefault="007D7F1A" w:rsidP="007D7F1A">
      <w:pPr>
        <w:spacing w:before="60" w:line="240" w:lineRule="exact"/>
        <w:jc w:val="both"/>
        <w:rPr>
          <w:rFonts w:ascii="Arial" w:hAnsi="Arial" w:cs="Arial"/>
          <w:sz w:val="22"/>
          <w:szCs w:val="22"/>
          <w:lang w:val="es-ES"/>
        </w:rPr>
      </w:pPr>
    </w:p>
    <w:p w:rsidR="007D7F1A" w:rsidRPr="00D6322A" w:rsidRDefault="007D7F1A" w:rsidP="007D7F1A">
      <w:pPr>
        <w:numPr>
          <w:ilvl w:val="0"/>
          <w:numId w:val="12"/>
        </w:numPr>
        <w:tabs>
          <w:tab w:val="clear" w:pos="1637"/>
        </w:tabs>
        <w:spacing w:before="60" w:line="240" w:lineRule="exact"/>
        <w:ind w:left="426" w:firstLine="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D6322A">
        <w:rPr>
          <w:rFonts w:ascii="Arial" w:hAnsi="Arial" w:cs="Arial"/>
          <w:b/>
          <w:sz w:val="22"/>
          <w:szCs w:val="22"/>
          <w:lang w:val="es-ES"/>
        </w:rPr>
        <w:t>2 CALDERAS DE COMBUSTI</w:t>
      </w:r>
      <w:r>
        <w:rPr>
          <w:rFonts w:ascii="Arial" w:hAnsi="Arial" w:cs="Arial"/>
          <w:b/>
          <w:sz w:val="22"/>
          <w:szCs w:val="22"/>
          <w:lang w:val="es-ES"/>
        </w:rPr>
        <w:t>Ó</w:t>
      </w:r>
      <w:r w:rsidRPr="00D6322A">
        <w:rPr>
          <w:rFonts w:ascii="Arial" w:hAnsi="Arial" w:cs="Arial"/>
          <w:b/>
          <w:sz w:val="22"/>
          <w:szCs w:val="22"/>
          <w:lang w:val="es-ES"/>
        </w:rPr>
        <w:t xml:space="preserve">N </w:t>
      </w:r>
    </w:p>
    <w:p w:rsidR="007D7F1A" w:rsidRPr="00D6322A" w:rsidRDefault="007D7F1A" w:rsidP="007D7F1A">
      <w:pPr>
        <w:numPr>
          <w:ilvl w:val="0"/>
          <w:numId w:val="12"/>
        </w:numPr>
        <w:tabs>
          <w:tab w:val="clear" w:pos="1637"/>
        </w:tabs>
        <w:spacing w:before="60" w:line="240" w:lineRule="exact"/>
        <w:ind w:left="426" w:firstLine="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D6322A">
        <w:rPr>
          <w:rFonts w:ascii="Arial" w:hAnsi="Arial" w:cs="Arial"/>
          <w:b/>
          <w:sz w:val="22"/>
          <w:szCs w:val="22"/>
          <w:lang w:val="es-ES"/>
        </w:rPr>
        <w:t xml:space="preserve">1 GRUPOS </w:t>
      </w:r>
      <w:proofErr w:type="spellStart"/>
      <w:r w:rsidRPr="00D6322A">
        <w:rPr>
          <w:rFonts w:ascii="Arial" w:hAnsi="Arial" w:cs="Arial"/>
          <w:b/>
          <w:sz w:val="22"/>
          <w:szCs w:val="22"/>
          <w:lang w:val="es-ES"/>
        </w:rPr>
        <w:t>ELECTROGENOS</w:t>
      </w:r>
      <w:proofErr w:type="spellEnd"/>
    </w:p>
    <w:p w:rsidR="007D7F1A" w:rsidRDefault="007D7F1A" w:rsidP="007D7F1A">
      <w:pPr>
        <w:numPr>
          <w:ilvl w:val="0"/>
          <w:numId w:val="12"/>
        </w:numPr>
        <w:tabs>
          <w:tab w:val="clear" w:pos="1637"/>
        </w:tabs>
        <w:spacing w:before="60" w:line="240" w:lineRule="exact"/>
        <w:ind w:left="426" w:firstLine="0"/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3</w:t>
      </w:r>
      <w:r w:rsidRPr="00D6322A">
        <w:rPr>
          <w:rFonts w:ascii="Arial" w:hAnsi="Arial" w:cs="Arial"/>
          <w:b/>
          <w:sz w:val="22"/>
          <w:szCs w:val="22"/>
          <w:lang w:val="es-ES"/>
        </w:rPr>
        <w:t xml:space="preserve"> BOMBAS</w:t>
      </w:r>
      <w:r>
        <w:rPr>
          <w:rFonts w:ascii="Arial" w:hAnsi="Arial" w:cs="Arial"/>
          <w:b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es-ES"/>
        </w:rPr>
        <w:t>PCI</w:t>
      </w:r>
      <w:proofErr w:type="spellEnd"/>
    </w:p>
    <w:p w:rsidR="007D7F1A" w:rsidRPr="00D6322A" w:rsidRDefault="007D7F1A" w:rsidP="00987D27">
      <w:pPr>
        <w:spacing w:before="60" w:after="120" w:line="240" w:lineRule="exact"/>
        <w:ind w:left="1440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7D7F1A" w:rsidRPr="00D6322A" w:rsidRDefault="00BA626D" w:rsidP="007D7F1A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1</w:t>
      </w:r>
      <w:r w:rsidR="007D7F1A" w:rsidRPr="00D6322A">
        <w:rPr>
          <w:rFonts w:ascii="Arial" w:hAnsi="Arial" w:cs="Arial"/>
          <w:b/>
          <w:sz w:val="22"/>
          <w:szCs w:val="22"/>
          <w:lang w:val="es-ES"/>
        </w:rPr>
        <w:t xml:space="preserve">.1.- </w:t>
      </w:r>
      <w:r w:rsidR="007D7F1A">
        <w:rPr>
          <w:rFonts w:ascii="Arial" w:hAnsi="Arial" w:cs="Arial"/>
          <w:b/>
          <w:sz w:val="22"/>
          <w:szCs w:val="22"/>
          <w:u w:val="single"/>
          <w:lang w:val="es-ES"/>
        </w:rPr>
        <w:t>Calderas de combustión</w:t>
      </w:r>
    </w:p>
    <w:p w:rsidR="007D7F1A" w:rsidRPr="006B37BA" w:rsidRDefault="007D7F1A" w:rsidP="007D7F1A">
      <w:pPr>
        <w:spacing w:before="60" w:after="60"/>
        <w:ind w:left="284"/>
        <w:jc w:val="both"/>
        <w:rPr>
          <w:rFonts w:ascii="Arial" w:hAnsi="Arial" w:cs="Arial"/>
          <w:sz w:val="22"/>
          <w:szCs w:val="22"/>
          <w:lang w:val="es-ES"/>
        </w:rPr>
      </w:pPr>
      <w:r w:rsidRPr="006B37BA">
        <w:rPr>
          <w:rFonts w:ascii="Arial" w:hAnsi="Arial" w:cs="Arial"/>
          <w:sz w:val="22"/>
          <w:szCs w:val="22"/>
          <w:lang w:val="es-ES"/>
        </w:rPr>
        <w:t>La fábrica dispone</w:t>
      </w:r>
      <w:r>
        <w:rPr>
          <w:rFonts w:ascii="Arial" w:hAnsi="Arial" w:cs="Arial"/>
          <w:sz w:val="22"/>
          <w:szCs w:val="22"/>
          <w:lang w:val="es-ES"/>
        </w:rPr>
        <w:t xml:space="preserve"> de dos calderas de combustión</w:t>
      </w:r>
      <w:r w:rsidRPr="006B37BA">
        <w:rPr>
          <w:rFonts w:ascii="Arial" w:hAnsi="Arial" w:cs="Arial"/>
          <w:sz w:val="22"/>
          <w:szCs w:val="22"/>
          <w:lang w:val="es-ES"/>
        </w:rPr>
        <w:t xml:space="preserve"> para la generación de vapor</w:t>
      </w:r>
      <w:r>
        <w:rPr>
          <w:rFonts w:ascii="Arial" w:hAnsi="Arial" w:cs="Arial"/>
          <w:sz w:val="22"/>
          <w:szCs w:val="22"/>
          <w:lang w:val="es-ES"/>
        </w:rPr>
        <w:t xml:space="preserve">, que se </w:t>
      </w:r>
      <w:r w:rsidRPr="006B37BA">
        <w:rPr>
          <w:rFonts w:ascii="Arial" w:hAnsi="Arial" w:cs="Arial"/>
          <w:sz w:val="22"/>
          <w:szCs w:val="22"/>
          <w:lang w:val="es-ES"/>
        </w:rPr>
        <w:t xml:space="preserve"> emplea en la vulcanización,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Pr="006B37BA">
        <w:rPr>
          <w:rFonts w:ascii="Arial" w:hAnsi="Arial" w:cs="Arial"/>
          <w:sz w:val="22"/>
          <w:szCs w:val="22"/>
          <w:lang w:val="es-ES"/>
        </w:rPr>
        <w:t xml:space="preserve">para </w:t>
      </w:r>
      <w:r>
        <w:rPr>
          <w:rFonts w:ascii="Arial" w:hAnsi="Arial" w:cs="Arial"/>
          <w:sz w:val="22"/>
          <w:szCs w:val="22"/>
          <w:lang w:val="es-ES"/>
        </w:rPr>
        <w:t xml:space="preserve">dar servicio de </w:t>
      </w:r>
      <w:r w:rsidRPr="006B37BA">
        <w:rPr>
          <w:rFonts w:ascii="Arial" w:hAnsi="Arial" w:cs="Arial"/>
          <w:sz w:val="22"/>
          <w:szCs w:val="22"/>
          <w:lang w:val="es-ES"/>
        </w:rPr>
        <w:t>calefacción,</w:t>
      </w:r>
      <w:r>
        <w:rPr>
          <w:rFonts w:ascii="Arial" w:hAnsi="Arial" w:cs="Arial"/>
          <w:sz w:val="22"/>
          <w:szCs w:val="22"/>
          <w:lang w:val="es-ES"/>
        </w:rPr>
        <w:t xml:space="preserve"> y para otros procesos de</w:t>
      </w:r>
      <w:r w:rsidRPr="006B37BA">
        <w:rPr>
          <w:rFonts w:ascii="Arial" w:hAnsi="Arial" w:cs="Arial"/>
          <w:sz w:val="22"/>
          <w:szCs w:val="22"/>
          <w:lang w:val="es-ES"/>
        </w:rPr>
        <w:t xml:space="preserve"> regulación de cuadros de fluidos y el uso sanitario. Las 2 utilizan como combustible el gas natural. </w:t>
      </w:r>
    </w:p>
    <w:p w:rsidR="007D7F1A" w:rsidRPr="006B37BA" w:rsidRDefault="007D7F1A" w:rsidP="007D7F1A">
      <w:pPr>
        <w:spacing w:before="60" w:after="60"/>
        <w:ind w:left="284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Una de las</w:t>
      </w:r>
      <w:r w:rsidRPr="006B37BA">
        <w:rPr>
          <w:rFonts w:ascii="Arial" w:hAnsi="Arial" w:cs="Arial"/>
          <w:sz w:val="22"/>
          <w:szCs w:val="22"/>
          <w:lang w:val="es-ES"/>
        </w:rPr>
        <w:t xml:space="preserve"> caldera</w:t>
      </w:r>
      <w:r>
        <w:rPr>
          <w:rFonts w:ascii="Arial" w:hAnsi="Arial" w:cs="Arial"/>
          <w:sz w:val="22"/>
          <w:szCs w:val="22"/>
          <w:lang w:val="es-ES"/>
        </w:rPr>
        <w:t>s, la nº 3,</w:t>
      </w:r>
      <w:r w:rsidRPr="006B37BA">
        <w:rPr>
          <w:rFonts w:ascii="Arial" w:hAnsi="Arial" w:cs="Arial"/>
          <w:sz w:val="22"/>
          <w:szCs w:val="22"/>
          <w:lang w:val="es-ES"/>
        </w:rPr>
        <w:t xml:space="preserve"> posee un quemador mixto, gas y gasóleo, que permite, en caso de emergencias ante un corte del suministro de gas, y durante muy corto espacio de tiempo, utilizar gasóleo como combustible.</w:t>
      </w:r>
    </w:p>
    <w:p w:rsidR="007D7F1A" w:rsidRDefault="007D7F1A" w:rsidP="007D7F1A">
      <w:pPr>
        <w:spacing w:before="60" w:line="240" w:lineRule="exact"/>
        <w:ind w:left="284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Las calderas son:</w:t>
      </w:r>
    </w:p>
    <w:p w:rsidR="007D7F1A" w:rsidRDefault="007D7F1A" w:rsidP="007D7F1A">
      <w:pPr>
        <w:pStyle w:val="Prrafodelista"/>
        <w:numPr>
          <w:ilvl w:val="0"/>
          <w:numId w:val="24"/>
        </w:numPr>
        <w:spacing w:before="60" w:line="240" w:lineRule="exact"/>
        <w:jc w:val="both"/>
        <w:rPr>
          <w:rFonts w:ascii="Arial" w:hAnsi="Arial" w:cs="Arial"/>
          <w:sz w:val="22"/>
          <w:szCs w:val="22"/>
          <w:lang w:val="es-ES"/>
        </w:rPr>
      </w:pPr>
      <w:proofErr w:type="spellStart"/>
      <w:r w:rsidRPr="00E51534">
        <w:rPr>
          <w:rFonts w:ascii="Arial" w:hAnsi="Arial" w:cs="Arial"/>
          <w:sz w:val="22"/>
          <w:szCs w:val="22"/>
          <w:lang w:val="es-ES"/>
        </w:rPr>
        <w:t>B.W</w:t>
      </w:r>
      <w:proofErr w:type="spellEnd"/>
      <w:r w:rsidRPr="00E51534">
        <w:rPr>
          <w:rFonts w:ascii="Arial" w:hAnsi="Arial" w:cs="Arial"/>
          <w:sz w:val="22"/>
          <w:szCs w:val="22"/>
          <w:lang w:val="es-ES"/>
        </w:rPr>
        <w:t xml:space="preserve">. de 33tv/h, marca y modelo </w:t>
      </w:r>
      <w:proofErr w:type="spellStart"/>
      <w:r w:rsidRPr="00E51534">
        <w:rPr>
          <w:rFonts w:ascii="Arial" w:hAnsi="Arial" w:cs="Arial"/>
          <w:sz w:val="22"/>
          <w:szCs w:val="22"/>
          <w:lang w:val="es-ES"/>
        </w:rPr>
        <w:t>BABCOK</w:t>
      </w:r>
      <w:proofErr w:type="spellEnd"/>
      <w:r w:rsidRPr="00E51534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E51534">
        <w:rPr>
          <w:rFonts w:ascii="Arial" w:hAnsi="Arial" w:cs="Arial"/>
          <w:sz w:val="22"/>
          <w:szCs w:val="22"/>
          <w:lang w:val="es-ES"/>
        </w:rPr>
        <w:t>ATLANTIQUE</w:t>
      </w:r>
      <w:proofErr w:type="spellEnd"/>
      <w:r w:rsidRPr="00E51534">
        <w:rPr>
          <w:rFonts w:ascii="Arial" w:hAnsi="Arial" w:cs="Arial"/>
          <w:sz w:val="22"/>
          <w:szCs w:val="22"/>
          <w:lang w:val="es-ES"/>
        </w:rPr>
        <w:t xml:space="preserve">, con una potencia nominal de 23,26 </w:t>
      </w:r>
      <w:proofErr w:type="spellStart"/>
      <w:r w:rsidRPr="00E51534">
        <w:rPr>
          <w:rFonts w:ascii="Arial" w:hAnsi="Arial" w:cs="Arial"/>
          <w:sz w:val="22"/>
          <w:szCs w:val="22"/>
          <w:lang w:val="es-ES"/>
        </w:rPr>
        <w:t>MW</w:t>
      </w:r>
      <w:proofErr w:type="spellEnd"/>
      <w:r w:rsidRPr="00E51534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(Caldera combustión nº 1)</w:t>
      </w:r>
    </w:p>
    <w:p w:rsidR="007D7F1A" w:rsidRDefault="007D7F1A" w:rsidP="007D7F1A">
      <w:pPr>
        <w:pStyle w:val="Prrafodelista"/>
        <w:numPr>
          <w:ilvl w:val="0"/>
          <w:numId w:val="24"/>
        </w:numPr>
        <w:spacing w:before="60" w:line="240" w:lineRule="exact"/>
        <w:jc w:val="both"/>
        <w:rPr>
          <w:rFonts w:ascii="Arial" w:hAnsi="Arial" w:cs="Arial"/>
          <w:sz w:val="22"/>
          <w:szCs w:val="22"/>
          <w:lang w:val="es-ES"/>
        </w:rPr>
      </w:pPr>
      <w:proofErr w:type="spellStart"/>
      <w:r w:rsidRPr="00E51534">
        <w:rPr>
          <w:rFonts w:ascii="Arial" w:hAnsi="Arial" w:cs="Arial"/>
          <w:sz w:val="22"/>
          <w:szCs w:val="22"/>
          <w:lang w:val="es-ES"/>
        </w:rPr>
        <w:t>SINCAL</w:t>
      </w:r>
      <w:proofErr w:type="spellEnd"/>
      <w:r w:rsidRPr="00E51534">
        <w:rPr>
          <w:rFonts w:ascii="Arial" w:hAnsi="Arial" w:cs="Arial"/>
          <w:sz w:val="22"/>
          <w:szCs w:val="22"/>
          <w:lang w:val="es-ES"/>
        </w:rPr>
        <w:t xml:space="preserve"> de 13,6 tv/h y una potencia nominal de 9,6MW. </w:t>
      </w:r>
      <w:r>
        <w:rPr>
          <w:rFonts w:ascii="Arial" w:hAnsi="Arial" w:cs="Arial"/>
          <w:sz w:val="22"/>
          <w:szCs w:val="22"/>
          <w:lang w:val="es-ES"/>
        </w:rPr>
        <w:t>(Caldera combustión nº 3).</w:t>
      </w:r>
      <w:r w:rsidRPr="00E51534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A92293" w:rsidRPr="00A92293" w:rsidRDefault="00A92293" w:rsidP="00807624">
      <w:pPr>
        <w:spacing w:before="240" w:after="120" w:line="240" w:lineRule="exact"/>
        <w:ind w:left="28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A92293">
        <w:rPr>
          <w:rFonts w:ascii="Arial" w:hAnsi="Arial" w:cs="Arial"/>
          <w:b/>
          <w:sz w:val="22"/>
          <w:szCs w:val="22"/>
          <w:lang w:val="es-ES"/>
        </w:rPr>
        <w:t xml:space="preserve">La potencia nominal total es de 32,86 </w:t>
      </w:r>
      <w:proofErr w:type="spellStart"/>
      <w:r w:rsidRPr="00A92293">
        <w:rPr>
          <w:rFonts w:ascii="Arial" w:hAnsi="Arial" w:cs="Arial"/>
          <w:b/>
          <w:sz w:val="22"/>
          <w:szCs w:val="22"/>
          <w:lang w:val="es-ES"/>
        </w:rPr>
        <w:t>MW</w:t>
      </w:r>
      <w:proofErr w:type="spellEnd"/>
    </w:p>
    <w:p w:rsidR="007D7F1A" w:rsidRPr="00987D27" w:rsidRDefault="007D7F1A" w:rsidP="00987D27">
      <w:pPr>
        <w:spacing w:before="60" w:after="120" w:line="240" w:lineRule="exact"/>
        <w:ind w:left="1440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7D7F1A" w:rsidRPr="00B47E56" w:rsidRDefault="00BA626D" w:rsidP="007D7F1A">
      <w:pPr>
        <w:spacing w:after="120"/>
        <w:ind w:right="-839"/>
        <w:jc w:val="both"/>
        <w:rPr>
          <w:rFonts w:ascii="Arial" w:hAnsi="Arial" w:cs="Arial"/>
          <w:b/>
          <w:sz w:val="22"/>
          <w:szCs w:val="22"/>
          <w:u w:val="single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1</w:t>
      </w:r>
      <w:r w:rsidR="007D7F1A">
        <w:rPr>
          <w:rFonts w:ascii="Arial" w:hAnsi="Arial" w:cs="Arial"/>
          <w:b/>
          <w:sz w:val="22"/>
          <w:szCs w:val="22"/>
          <w:lang w:val="es-ES"/>
        </w:rPr>
        <w:t>.</w:t>
      </w:r>
      <w:r w:rsidR="007D7F1A" w:rsidRPr="00B47E56">
        <w:rPr>
          <w:rFonts w:ascii="Arial" w:hAnsi="Arial" w:cs="Arial"/>
          <w:b/>
          <w:sz w:val="22"/>
          <w:szCs w:val="22"/>
          <w:lang w:val="es-ES"/>
        </w:rPr>
        <w:t xml:space="preserve">2.- </w:t>
      </w:r>
      <w:r w:rsidR="007D7F1A">
        <w:rPr>
          <w:rFonts w:ascii="Arial" w:hAnsi="Arial" w:cs="Arial"/>
          <w:b/>
          <w:sz w:val="22"/>
          <w:szCs w:val="22"/>
          <w:u w:val="single"/>
          <w:lang w:val="es-ES"/>
        </w:rPr>
        <w:t>Grupo electrógeno</w:t>
      </w:r>
    </w:p>
    <w:p w:rsidR="007D7F1A" w:rsidRPr="00B47E56" w:rsidRDefault="007D7F1A" w:rsidP="007D7F1A">
      <w:pPr>
        <w:spacing w:before="60" w:after="60" w:line="240" w:lineRule="exact"/>
        <w:ind w:left="284"/>
        <w:jc w:val="both"/>
        <w:rPr>
          <w:rFonts w:ascii="Arial" w:hAnsi="Arial" w:cs="Arial"/>
          <w:sz w:val="22"/>
          <w:szCs w:val="22"/>
          <w:lang w:val="es-ES"/>
        </w:rPr>
      </w:pPr>
      <w:r w:rsidRPr="00B47E56">
        <w:rPr>
          <w:rFonts w:ascii="Arial" w:hAnsi="Arial" w:cs="Arial"/>
          <w:sz w:val="22"/>
          <w:szCs w:val="22"/>
          <w:lang w:val="es-ES"/>
        </w:rPr>
        <w:t>Su finalidad principal es la alimentación eléctrica a ciertos circuitos considerados prioritarios, tales como: central de alarmas, sala informática, sala de control, alumbrado de emergencia,…</w:t>
      </w:r>
      <w:r>
        <w:rPr>
          <w:rFonts w:ascii="Arial" w:hAnsi="Arial" w:cs="Arial"/>
          <w:sz w:val="22"/>
          <w:szCs w:val="22"/>
          <w:lang w:val="es-ES"/>
        </w:rPr>
        <w:t>, en caso de falta de suministro eléctrico.</w:t>
      </w:r>
    </w:p>
    <w:p w:rsidR="007D7F1A" w:rsidRDefault="007D7F1A" w:rsidP="007D7F1A">
      <w:pPr>
        <w:spacing w:before="60" w:line="240" w:lineRule="exact"/>
        <w:ind w:left="284"/>
        <w:jc w:val="both"/>
        <w:rPr>
          <w:rFonts w:ascii="Arial" w:hAnsi="Arial" w:cs="Arial"/>
          <w:sz w:val="22"/>
          <w:szCs w:val="22"/>
          <w:lang w:val="es-ES"/>
        </w:rPr>
      </w:pPr>
      <w:r w:rsidRPr="00B47E56">
        <w:rPr>
          <w:rFonts w:ascii="Arial" w:hAnsi="Arial" w:cs="Arial"/>
          <w:sz w:val="22"/>
          <w:szCs w:val="22"/>
          <w:lang w:val="es-ES"/>
        </w:rPr>
        <w:t xml:space="preserve">Se alimenta con un motor </w:t>
      </w:r>
      <w:proofErr w:type="spellStart"/>
      <w:r w:rsidRPr="00B47E56">
        <w:rPr>
          <w:rFonts w:ascii="Arial" w:hAnsi="Arial" w:cs="Arial"/>
          <w:sz w:val="22"/>
          <w:szCs w:val="22"/>
          <w:lang w:val="es-ES"/>
        </w:rPr>
        <w:t>diesel</w:t>
      </w:r>
      <w:proofErr w:type="spellEnd"/>
      <w:r w:rsidRPr="00B47E56">
        <w:rPr>
          <w:rFonts w:ascii="Arial" w:hAnsi="Arial" w:cs="Arial"/>
          <w:sz w:val="22"/>
          <w:szCs w:val="22"/>
          <w:lang w:val="es-ES"/>
        </w:rPr>
        <w:t xml:space="preserve"> que utiliza gasóleo como combustible</w:t>
      </w:r>
    </w:p>
    <w:p w:rsidR="007D7F1A" w:rsidRPr="00987D27" w:rsidRDefault="007D7F1A" w:rsidP="00987D27">
      <w:pPr>
        <w:spacing w:before="60" w:after="120" w:line="240" w:lineRule="exact"/>
        <w:ind w:left="1440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7D7F1A" w:rsidRPr="00B47E56" w:rsidRDefault="00BA626D" w:rsidP="007D7F1A">
      <w:pPr>
        <w:spacing w:after="120"/>
        <w:ind w:right="-839"/>
        <w:jc w:val="both"/>
        <w:rPr>
          <w:rFonts w:ascii="Arial" w:hAnsi="Arial" w:cs="Arial"/>
          <w:b/>
          <w:sz w:val="22"/>
          <w:szCs w:val="22"/>
          <w:u w:val="single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1</w:t>
      </w:r>
      <w:r w:rsidR="007D7F1A">
        <w:rPr>
          <w:rFonts w:ascii="Arial" w:hAnsi="Arial" w:cs="Arial"/>
          <w:b/>
          <w:sz w:val="22"/>
          <w:szCs w:val="22"/>
          <w:lang w:val="es-ES"/>
        </w:rPr>
        <w:t>.</w:t>
      </w:r>
      <w:r w:rsidR="007D7F1A" w:rsidRPr="00B47E56">
        <w:rPr>
          <w:rFonts w:ascii="Arial" w:hAnsi="Arial" w:cs="Arial"/>
          <w:b/>
          <w:sz w:val="22"/>
          <w:szCs w:val="22"/>
          <w:lang w:val="es-ES"/>
        </w:rPr>
        <w:t xml:space="preserve">3.- </w:t>
      </w:r>
      <w:r w:rsidR="007D7F1A" w:rsidRPr="00B47E56">
        <w:rPr>
          <w:rFonts w:ascii="Arial" w:hAnsi="Arial" w:cs="Arial"/>
          <w:b/>
          <w:sz w:val="22"/>
          <w:szCs w:val="22"/>
          <w:u w:val="single"/>
          <w:lang w:val="es-ES"/>
        </w:rPr>
        <w:t>B</w:t>
      </w:r>
      <w:r w:rsidR="007D7F1A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ombas </w:t>
      </w:r>
      <w:proofErr w:type="spellStart"/>
      <w:r w:rsidR="007D7F1A">
        <w:rPr>
          <w:rFonts w:ascii="Arial" w:hAnsi="Arial" w:cs="Arial"/>
          <w:b/>
          <w:sz w:val="22"/>
          <w:szCs w:val="22"/>
          <w:u w:val="single"/>
          <w:lang w:val="es-ES"/>
        </w:rPr>
        <w:t>PCI</w:t>
      </w:r>
      <w:proofErr w:type="spellEnd"/>
    </w:p>
    <w:p w:rsidR="007D7F1A" w:rsidRPr="00B47E56" w:rsidRDefault="007D7F1A" w:rsidP="007D7F1A">
      <w:pPr>
        <w:spacing w:before="60" w:line="240" w:lineRule="exact"/>
        <w:ind w:left="284"/>
        <w:jc w:val="both"/>
        <w:rPr>
          <w:rFonts w:ascii="Arial" w:hAnsi="Arial" w:cs="Arial"/>
          <w:sz w:val="22"/>
          <w:szCs w:val="22"/>
          <w:lang w:val="es-ES"/>
        </w:rPr>
      </w:pPr>
      <w:r w:rsidRPr="00B47E56">
        <w:rPr>
          <w:rFonts w:ascii="Arial" w:hAnsi="Arial" w:cs="Arial"/>
          <w:sz w:val="22"/>
          <w:szCs w:val="22"/>
          <w:lang w:val="es-ES"/>
        </w:rPr>
        <w:t>Su finalidad es la de mantener el nivel de presurización de los colectores de</w:t>
      </w:r>
      <w:r>
        <w:rPr>
          <w:rFonts w:ascii="Arial" w:hAnsi="Arial" w:cs="Arial"/>
          <w:sz w:val="22"/>
          <w:szCs w:val="22"/>
          <w:lang w:val="es-ES"/>
        </w:rPr>
        <w:t xml:space="preserve">l sistema de </w:t>
      </w:r>
      <w:r w:rsidRPr="00B47E56">
        <w:rPr>
          <w:rFonts w:ascii="Arial" w:hAnsi="Arial" w:cs="Arial"/>
          <w:sz w:val="22"/>
          <w:szCs w:val="22"/>
          <w:lang w:val="es-ES"/>
        </w:rPr>
        <w:t>P</w:t>
      </w:r>
      <w:r>
        <w:rPr>
          <w:rFonts w:ascii="Arial" w:hAnsi="Arial" w:cs="Arial"/>
          <w:sz w:val="22"/>
          <w:szCs w:val="22"/>
          <w:lang w:val="es-ES"/>
        </w:rPr>
        <w:t xml:space="preserve">rotección </w:t>
      </w:r>
      <w:r w:rsidRPr="00B47E56">
        <w:rPr>
          <w:rFonts w:ascii="Arial" w:hAnsi="Arial" w:cs="Arial"/>
          <w:sz w:val="22"/>
          <w:szCs w:val="22"/>
          <w:lang w:val="es-ES"/>
        </w:rPr>
        <w:t>C</w:t>
      </w:r>
      <w:r>
        <w:rPr>
          <w:rFonts w:ascii="Arial" w:hAnsi="Arial" w:cs="Arial"/>
          <w:sz w:val="22"/>
          <w:szCs w:val="22"/>
          <w:lang w:val="es-ES"/>
        </w:rPr>
        <w:t xml:space="preserve">ontra </w:t>
      </w:r>
      <w:r w:rsidRPr="00B47E56">
        <w:rPr>
          <w:rFonts w:ascii="Arial" w:hAnsi="Arial" w:cs="Arial"/>
          <w:sz w:val="22"/>
          <w:szCs w:val="22"/>
          <w:lang w:val="es-ES"/>
        </w:rPr>
        <w:t>I</w:t>
      </w:r>
      <w:r>
        <w:rPr>
          <w:rFonts w:ascii="Arial" w:hAnsi="Arial" w:cs="Arial"/>
          <w:sz w:val="22"/>
          <w:szCs w:val="22"/>
          <w:lang w:val="es-ES"/>
        </w:rPr>
        <w:t>ncendios.</w:t>
      </w:r>
      <w:r w:rsidRPr="00B47E56">
        <w:rPr>
          <w:rFonts w:ascii="Arial" w:hAnsi="Arial" w:cs="Arial"/>
          <w:sz w:val="22"/>
          <w:szCs w:val="22"/>
          <w:lang w:val="es-ES"/>
        </w:rPr>
        <w:t xml:space="preserve"> Disponemos para ello de t</w:t>
      </w:r>
      <w:r>
        <w:rPr>
          <w:rFonts w:ascii="Arial" w:hAnsi="Arial" w:cs="Arial"/>
          <w:sz w:val="22"/>
          <w:szCs w:val="22"/>
          <w:lang w:val="es-ES"/>
        </w:rPr>
        <w:t>res</w:t>
      </w:r>
      <w:r w:rsidRPr="00B47E56">
        <w:rPr>
          <w:rFonts w:ascii="Arial" w:hAnsi="Arial" w:cs="Arial"/>
          <w:sz w:val="22"/>
          <w:szCs w:val="22"/>
          <w:lang w:val="es-ES"/>
        </w:rPr>
        <w:t xml:space="preserve"> bombas, accionadas por sendos motores </w:t>
      </w:r>
      <w:proofErr w:type="spellStart"/>
      <w:r w:rsidRPr="00B47E56">
        <w:rPr>
          <w:rFonts w:ascii="Arial" w:hAnsi="Arial" w:cs="Arial"/>
          <w:sz w:val="22"/>
          <w:szCs w:val="22"/>
          <w:lang w:val="es-ES"/>
        </w:rPr>
        <w:t>diesel</w:t>
      </w:r>
      <w:proofErr w:type="spellEnd"/>
      <w:r w:rsidRPr="00B47E56">
        <w:rPr>
          <w:rFonts w:ascii="Arial" w:hAnsi="Arial" w:cs="Arial"/>
          <w:sz w:val="22"/>
          <w:szCs w:val="22"/>
          <w:lang w:val="es-ES"/>
        </w:rPr>
        <w:t xml:space="preserve"> alimentados con gasóleo.</w:t>
      </w:r>
    </w:p>
    <w:p w:rsidR="007D7F1A" w:rsidRPr="00104F26" w:rsidRDefault="007D7F1A" w:rsidP="007D7F1A">
      <w:pPr>
        <w:spacing w:before="60"/>
        <w:ind w:right="-840"/>
        <w:jc w:val="both"/>
        <w:rPr>
          <w:sz w:val="20"/>
          <w:szCs w:val="20"/>
          <w:lang w:val="es-ES"/>
        </w:rPr>
      </w:pPr>
    </w:p>
    <w:p w:rsidR="00987D27" w:rsidRDefault="00987D27" w:rsidP="00807624">
      <w:pPr>
        <w:spacing w:before="24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</w:p>
    <w:p w:rsidR="00987D27" w:rsidRDefault="00987D27" w:rsidP="00807624">
      <w:pPr>
        <w:spacing w:before="24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</w:p>
    <w:p w:rsidR="00987D27" w:rsidRDefault="00987D27" w:rsidP="00807624">
      <w:pPr>
        <w:spacing w:before="24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</w:p>
    <w:p w:rsidR="00A92293" w:rsidRDefault="00A92293" w:rsidP="00807624">
      <w:pPr>
        <w:spacing w:before="24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lastRenderedPageBreak/>
        <w:t>2</w:t>
      </w:r>
      <w:r w:rsidRPr="001B21D5">
        <w:rPr>
          <w:rFonts w:ascii="Arial" w:hAnsi="Arial" w:cs="Arial"/>
          <w:b/>
          <w:u w:val="single"/>
          <w:lang w:val="es-ES"/>
        </w:rPr>
        <w:t xml:space="preserve">- </w:t>
      </w:r>
      <w:r>
        <w:rPr>
          <w:rFonts w:ascii="Arial" w:hAnsi="Arial" w:cs="Arial"/>
          <w:b/>
          <w:u w:val="single"/>
          <w:lang w:val="es-ES"/>
        </w:rPr>
        <w:t>EMISIONES CO2 LASARTE</w:t>
      </w:r>
    </w:p>
    <w:p w:rsidR="00A92293" w:rsidRDefault="00A92293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 w:rsidRPr="00F64FA5">
        <w:rPr>
          <w:rFonts w:ascii="Arial" w:hAnsi="Arial" w:cs="Arial"/>
          <w:sz w:val="22"/>
          <w:szCs w:val="22"/>
          <w:lang w:val="es-ES"/>
        </w:rPr>
        <w:t xml:space="preserve">La Fábrica de </w:t>
      </w:r>
      <w:r w:rsidRPr="00F64FA5">
        <w:rPr>
          <w:rFonts w:ascii="Arial" w:hAnsi="Arial" w:cs="Arial"/>
          <w:caps/>
          <w:sz w:val="22"/>
          <w:szCs w:val="22"/>
          <w:lang w:val="es-ES"/>
        </w:rPr>
        <w:t>Michelin</w:t>
      </w:r>
      <w:r w:rsidRPr="00F64FA5">
        <w:rPr>
          <w:rFonts w:ascii="Arial" w:hAnsi="Arial" w:cs="Arial"/>
          <w:sz w:val="22"/>
          <w:szCs w:val="22"/>
          <w:lang w:val="es-ES"/>
        </w:rPr>
        <w:t xml:space="preserve"> e</w:t>
      </w:r>
      <w:r>
        <w:rPr>
          <w:rFonts w:ascii="Arial" w:hAnsi="Arial" w:cs="Arial"/>
          <w:sz w:val="22"/>
          <w:szCs w:val="22"/>
          <w:lang w:val="es-ES"/>
        </w:rPr>
        <w:t>n</w:t>
      </w:r>
      <w:r w:rsidRPr="00F64FA5">
        <w:rPr>
          <w:rFonts w:ascii="Arial" w:hAnsi="Arial" w:cs="Arial"/>
          <w:sz w:val="22"/>
          <w:szCs w:val="22"/>
          <w:lang w:val="es-ES"/>
        </w:rPr>
        <w:t xml:space="preserve"> Lasarte </w:t>
      </w:r>
      <w:r>
        <w:rPr>
          <w:rFonts w:ascii="Arial" w:hAnsi="Arial" w:cs="Arial"/>
          <w:sz w:val="22"/>
          <w:szCs w:val="22"/>
          <w:lang w:val="es-ES"/>
        </w:rPr>
        <w:t xml:space="preserve">dispone de Autorización de Emisión de Gases de Efecto Invernadero concedida mediante Resolución de 4 de agosto de 2005 del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Viceconsejero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de Medio Ambiente del Gobierno Vasco, siendo el año 2006 el primer año de aplicación.</w:t>
      </w:r>
    </w:p>
    <w:p w:rsidR="00C82551" w:rsidRDefault="00A92293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La autorizaci</w:t>
      </w:r>
      <w:r w:rsidR="00C82551">
        <w:rPr>
          <w:rFonts w:ascii="Arial" w:hAnsi="Arial" w:cs="Arial"/>
          <w:sz w:val="22"/>
          <w:szCs w:val="22"/>
          <w:lang w:val="es-ES"/>
        </w:rPr>
        <w:t>ón en vigor es la otorgada por Resolución de la Directora de Administración Ambiental del Gobierno Vasco del 19 de septiembre de 2014.</w:t>
      </w:r>
    </w:p>
    <w:p w:rsidR="005D0B66" w:rsidRDefault="005D0B66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Las emisiones verificadas y declaradas en los años 2006 a 2013 han sido:</w:t>
      </w:r>
    </w:p>
    <w:p w:rsidR="00987D27" w:rsidRDefault="00987D27" w:rsidP="00987D2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  <w:lang w:val="es-ES"/>
        </w:rPr>
      </w:pPr>
    </w:p>
    <w:tbl>
      <w:tblPr>
        <w:tblStyle w:val="Tablaconcuadrcula"/>
        <w:tblW w:w="9428" w:type="dxa"/>
        <w:jc w:val="center"/>
        <w:tblLook w:val="04A0" w:firstRow="1" w:lastRow="0" w:firstColumn="1" w:lastColumn="0" w:noHBand="0" w:noVBand="1"/>
      </w:tblPr>
      <w:tblGrid>
        <w:gridCol w:w="1480"/>
        <w:gridCol w:w="1086"/>
        <w:gridCol w:w="1086"/>
        <w:gridCol w:w="1086"/>
        <w:gridCol w:w="938"/>
        <w:gridCol w:w="938"/>
        <w:gridCol w:w="938"/>
        <w:gridCol w:w="938"/>
        <w:gridCol w:w="938"/>
      </w:tblGrid>
      <w:tr w:rsidR="005D0B66" w:rsidRPr="00EB7599" w:rsidTr="00807624">
        <w:trPr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AÑO</w:t>
            </w:r>
            <w:proofErr w:type="spellEnd"/>
          </w:p>
        </w:tc>
        <w:tc>
          <w:tcPr>
            <w:tcW w:w="1086" w:type="dxa"/>
            <w:shd w:val="clear" w:color="auto" w:fill="D9D9D9" w:themeFill="background1" w:themeFillShade="D9"/>
          </w:tcPr>
          <w:p w:rsidR="005D0B66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2006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2007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2008</w:t>
            </w:r>
          </w:p>
        </w:tc>
        <w:tc>
          <w:tcPr>
            <w:tcW w:w="938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09</w:t>
            </w:r>
          </w:p>
        </w:tc>
        <w:tc>
          <w:tcPr>
            <w:tcW w:w="938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10</w:t>
            </w:r>
          </w:p>
        </w:tc>
        <w:tc>
          <w:tcPr>
            <w:tcW w:w="938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11</w:t>
            </w:r>
          </w:p>
        </w:tc>
        <w:tc>
          <w:tcPr>
            <w:tcW w:w="938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12</w:t>
            </w:r>
          </w:p>
        </w:tc>
        <w:tc>
          <w:tcPr>
            <w:tcW w:w="938" w:type="dxa"/>
            <w:shd w:val="clear" w:color="auto" w:fill="D9D9D9" w:themeFill="background1" w:themeFillShade="D9"/>
          </w:tcPr>
          <w:p w:rsidR="005D0B66" w:rsidRPr="00EB7599" w:rsidRDefault="005D0B66" w:rsidP="00E36801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13</w:t>
            </w:r>
          </w:p>
        </w:tc>
      </w:tr>
      <w:tr w:rsidR="005D0B66" w:rsidRPr="00A84979" w:rsidTr="00807624">
        <w:trPr>
          <w:jc w:val="center"/>
        </w:trPr>
        <w:tc>
          <w:tcPr>
            <w:tcW w:w="1480" w:type="dxa"/>
          </w:tcPr>
          <w:p w:rsidR="005D0B66" w:rsidRPr="00A84979" w:rsidRDefault="005D0B66" w:rsidP="00E36801">
            <w:pPr>
              <w:jc w:val="center"/>
              <w:rPr>
                <w:b/>
              </w:rPr>
            </w:pPr>
            <w:r w:rsidRPr="00A84979">
              <w:rPr>
                <w:b/>
              </w:rPr>
              <w:t>tCO2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emitidas</w:t>
            </w:r>
            <w:proofErr w:type="spellEnd"/>
          </w:p>
        </w:tc>
        <w:tc>
          <w:tcPr>
            <w:tcW w:w="1086" w:type="dxa"/>
            <w:vAlign w:val="center"/>
          </w:tcPr>
          <w:p w:rsidR="005D0B66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13.545</w:t>
            </w:r>
          </w:p>
        </w:tc>
        <w:tc>
          <w:tcPr>
            <w:tcW w:w="1086" w:type="dxa"/>
            <w:vAlign w:val="center"/>
          </w:tcPr>
          <w:p w:rsidR="005D0B66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12.895</w:t>
            </w:r>
          </w:p>
        </w:tc>
        <w:tc>
          <w:tcPr>
            <w:tcW w:w="1086" w:type="dxa"/>
            <w:vAlign w:val="center"/>
          </w:tcPr>
          <w:p w:rsidR="005D0B66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11.083</w:t>
            </w:r>
          </w:p>
        </w:tc>
        <w:tc>
          <w:tcPr>
            <w:tcW w:w="938" w:type="dxa"/>
            <w:vAlign w:val="center"/>
          </w:tcPr>
          <w:p w:rsidR="005D0B66" w:rsidRPr="00A8497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8.335</w:t>
            </w:r>
          </w:p>
        </w:tc>
        <w:tc>
          <w:tcPr>
            <w:tcW w:w="938" w:type="dxa"/>
            <w:vAlign w:val="center"/>
          </w:tcPr>
          <w:p w:rsidR="005D0B66" w:rsidRPr="00A8497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7.967</w:t>
            </w:r>
          </w:p>
        </w:tc>
        <w:tc>
          <w:tcPr>
            <w:tcW w:w="938" w:type="dxa"/>
            <w:vAlign w:val="center"/>
          </w:tcPr>
          <w:p w:rsidR="005D0B66" w:rsidRPr="00A8497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7.231</w:t>
            </w:r>
          </w:p>
        </w:tc>
        <w:tc>
          <w:tcPr>
            <w:tcW w:w="938" w:type="dxa"/>
            <w:vAlign w:val="center"/>
          </w:tcPr>
          <w:p w:rsidR="005D0B66" w:rsidRPr="00A8497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8.094</w:t>
            </w:r>
          </w:p>
        </w:tc>
        <w:tc>
          <w:tcPr>
            <w:tcW w:w="938" w:type="dxa"/>
            <w:vAlign w:val="center"/>
          </w:tcPr>
          <w:p w:rsidR="005D0B66" w:rsidRPr="00A84979" w:rsidRDefault="005D0B66" w:rsidP="00E36801">
            <w:pPr>
              <w:jc w:val="center"/>
              <w:rPr>
                <w:b/>
              </w:rPr>
            </w:pPr>
            <w:r>
              <w:rPr>
                <w:b/>
              </w:rPr>
              <w:t>7.206</w:t>
            </w:r>
          </w:p>
        </w:tc>
      </w:tr>
    </w:tbl>
    <w:p w:rsidR="005D0B66" w:rsidRDefault="005D0B66" w:rsidP="006B72B5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  <w:lang w:val="es-ES"/>
        </w:rPr>
      </w:pPr>
    </w:p>
    <w:p w:rsidR="0039043E" w:rsidRDefault="0039043E" w:rsidP="0039043E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Las emisiones verificadas y notificadas de los años 2014 a 2018 han sido: </w:t>
      </w:r>
    </w:p>
    <w:p w:rsidR="00987D27" w:rsidRDefault="00987D27" w:rsidP="00987D2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  <w:lang w:val="es-ES"/>
        </w:rPr>
      </w:pPr>
    </w:p>
    <w:tbl>
      <w:tblPr>
        <w:tblStyle w:val="Tablaconcuadrcula"/>
        <w:tblW w:w="8220" w:type="dxa"/>
        <w:jc w:val="center"/>
        <w:tblInd w:w="535" w:type="dxa"/>
        <w:tblLook w:val="04A0" w:firstRow="1" w:lastRow="0" w:firstColumn="1" w:lastColumn="0" w:noHBand="0" w:noVBand="1"/>
      </w:tblPr>
      <w:tblGrid>
        <w:gridCol w:w="1983"/>
        <w:gridCol w:w="1134"/>
        <w:gridCol w:w="1276"/>
        <w:gridCol w:w="1276"/>
        <w:gridCol w:w="1134"/>
        <w:gridCol w:w="1417"/>
      </w:tblGrid>
      <w:tr w:rsidR="0039043E" w:rsidRPr="00EB7599" w:rsidTr="00446838">
        <w:trPr>
          <w:jc w:val="center"/>
        </w:trPr>
        <w:tc>
          <w:tcPr>
            <w:tcW w:w="1983" w:type="dxa"/>
            <w:shd w:val="clear" w:color="auto" w:fill="D9D9D9" w:themeFill="background1" w:themeFillShade="D9"/>
          </w:tcPr>
          <w:p w:rsidR="0039043E" w:rsidRPr="00EB7599" w:rsidRDefault="0039043E" w:rsidP="0044683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AÑO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</w:tcPr>
          <w:p w:rsidR="0039043E" w:rsidRPr="00EB7599" w:rsidRDefault="0039043E" w:rsidP="00446838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9043E" w:rsidRPr="00EB7599" w:rsidRDefault="0039043E" w:rsidP="00446838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9043E" w:rsidRPr="00EB7599" w:rsidRDefault="0039043E" w:rsidP="00446838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9043E" w:rsidRPr="00EB7599" w:rsidRDefault="0039043E" w:rsidP="00446838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17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9043E" w:rsidRPr="00EB7599" w:rsidRDefault="0039043E" w:rsidP="00446838">
            <w:pPr>
              <w:jc w:val="center"/>
              <w:rPr>
                <w:b/>
              </w:rPr>
            </w:pPr>
            <w:r w:rsidRPr="00EB7599">
              <w:rPr>
                <w:b/>
              </w:rPr>
              <w:t>20</w:t>
            </w:r>
            <w:r>
              <w:rPr>
                <w:b/>
              </w:rPr>
              <w:t>18</w:t>
            </w:r>
          </w:p>
        </w:tc>
      </w:tr>
      <w:tr w:rsidR="0039043E" w:rsidRPr="00A84979" w:rsidTr="00446838">
        <w:trPr>
          <w:jc w:val="center"/>
        </w:trPr>
        <w:tc>
          <w:tcPr>
            <w:tcW w:w="1983" w:type="dxa"/>
          </w:tcPr>
          <w:p w:rsidR="0039043E" w:rsidRPr="00A84979" w:rsidRDefault="0039043E" w:rsidP="00446838">
            <w:pPr>
              <w:jc w:val="center"/>
              <w:rPr>
                <w:b/>
              </w:rPr>
            </w:pPr>
            <w:r w:rsidRPr="00A84979">
              <w:rPr>
                <w:b/>
              </w:rPr>
              <w:t>tCO2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emitidas</w:t>
            </w:r>
            <w:proofErr w:type="spellEnd"/>
          </w:p>
        </w:tc>
        <w:tc>
          <w:tcPr>
            <w:tcW w:w="1134" w:type="dxa"/>
          </w:tcPr>
          <w:p w:rsidR="0039043E" w:rsidRPr="00A84979" w:rsidRDefault="0039043E" w:rsidP="00446838">
            <w:pPr>
              <w:jc w:val="center"/>
              <w:rPr>
                <w:b/>
              </w:rPr>
            </w:pPr>
            <w:r>
              <w:rPr>
                <w:b/>
              </w:rPr>
              <w:t>6.085</w:t>
            </w:r>
          </w:p>
        </w:tc>
        <w:tc>
          <w:tcPr>
            <w:tcW w:w="1276" w:type="dxa"/>
          </w:tcPr>
          <w:p w:rsidR="0039043E" w:rsidRPr="00A84979" w:rsidRDefault="0039043E" w:rsidP="00446838">
            <w:pPr>
              <w:jc w:val="center"/>
              <w:rPr>
                <w:b/>
              </w:rPr>
            </w:pPr>
            <w:r>
              <w:rPr>
                <w:b/>
              </w:rPr>
              <w:t>5.991</w:t>
            </w:r>
          </w:p>
        </w:tc>
        <w:tc>
          <w:tcPr>
            <w:tcW w:w="1276" w:type="dxa"/>
          </w:tcPr>
          <w:p w:rsidR="0039043E" w:rsidRPr="00A84979" w:rsidRDefault="0039043E" w:rsidP="00446838">
            <w:pPr>
              <w:jc w:val="center"/>
              <w:rPr>
                <w:b/>
              </w:rPr>
            </w:pPr>
            <w:r>
              <w:rPr>
                <w:b/>
              </w:rPr>
              <w:t>5.663</w:t>
            </w:r>
          </w:p>
        </w:tc>
        <w:tc>
          <w:tcPr>
            <w:tcW w:w="1134" w:type="dxa"/>
          </w:tcPr>
          <w:p w:rsidR="0039043E" w:rsidRPr="00A84979" w:rsidRDefault="0039043E" w:rsidP="00446838">
            <w:pPr>
              <w:jc w:val="center"/>
              <w:rPr>
                <w:b/>
              </w:rPr>
            </w:pPr>
            <w:r>
              <w:rPr>
                <w:b/>
              </w:rPr>
              <w:t>6.056</w:t>
            </w:r>
          </w:p>
        </w:tc>
        <w:tc>
          <w:tcPr>
            <w:tcW w:w="1417" w:type="dxa"/>
          </w:tcPr>
          <w:p w:rsidR="0039043E" w:rsidRPr="00A84979" w:rsidRDefault="0039043E" w:rsidP="00446838">
            <w:pPr>
              <w:jc w:val="center"/>
              <w:rPr>
                <w:b/>
              </w:rPr>
            </w:pPr>
            <w:r>
              <w:rPr>
                <w:b/>
              </w:rPr>
              <w:t>5.933</w:t>
            </w:r>
          </w:p>
        </w:tc>
      </w:tr>
    </w:tbl>
    <w:p w:rsidR="005172EA" w:rsidRDefault="005172EA" w:rsidP="006B72B5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  <w:lang w:val="es-ES"/>
        </w:rPr>
      </w:pPr>
    </w:p>
    <w:p w:rsidR="002156A8" w:rsidRDefault="002156A8" w:rsidP="0039043E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Cada </w:t>
      </w:r>
      <w:r w:rsidR="005172EA">
        <w:rPr>
          <w:rFonts w:ascii="Arial" w:hAnsi="Arial" w:cs="Arial"/>
          <w:sz w:val="22"/>
          <w:szCs w:val="22"/>
          <w:lang w:val="es-ES"/>
        </w:rPr>
        <w:t xml:space="preserve">uno de los </w:t>
      </w:r>
      <w:r>
        <w:rPr>
          <w:rFonts w:ascii="Arial" w:hAnsi="Arial" w:cs="Arial"/>
          <w:sz w:val="22"/>
          <w:szCs w:val="22"/>
          <w:lang w:val="es-ES"/>
        </w:rPr>
        <w:t>año</w:t>
      </w:r>
      <w:r w:rsidR="005172EA">
        <w:rPr>
          <w:rFonts w:ascii="Arial" w:hAnsi="Arial" w:cs="Arial"/>
          <w:sz w:val="22"/>
          <w:szCs w:val="22"/>
          <w:lang w:val="es-ES"/>
        </w:rPr>
        <w:t>s</w:t>
      </w:r>
      <w:r>
        <w:rPr>
          <w:rFonts w:ascii="Arial" w:hAnsi="Arial" w:cs="Arial"/>
          <w:sz w:val="22"/>
          <w:szCs w:val="22"/>
          <w:lang w:val="es-ES"/>
        </w:rPr>
        <w:t xml:space="preserve"> se </w:t>
      </w:r>
      <w:r w:rsidR="00807624">
        <w:rPr>
          <w:rFonts w:ascii="Arial" w:hAnsi="Arial" w:cs="Arial"/>
          <w:sz w:val="22"/>
          <w:szCs w:val="22"/>
          <w:lang w:val="es-ES"/>
        </w:rPr>
        <w:t>ha</w:t>
      </w:r>
      <w:r>
        <w:rPr>
          <w:rFonts w:ascii="Arial" w:hAnsi="Arial" w:cs="Arial"/>
          <w:sz w:val="22"/>
          <w:szCs w:val="22"/>
          <w:lang w:val="es-ES"/>
        </w:rPr>
        <w:t xml:space="preserve"> emitido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Pr="00987D27">
        <w:rPr>
          <w:rFonts w:ascii="Arial" w:hAnsi="Arial" w:cs="Arial"/>
          <w:sz w:val="22"/>
          <w:szCs w:val="22"/>
          <w:u w:val="single"/>
          <w:lang w:val="es-ES"/>
        </w:rPr>
        <w:t>menos de 25.000t CO2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987D27" w:rsidRDefault="002156A8" w:rsidP="0039043E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987D27" w:rsidRDefault="00987D27">
      <w:pPr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br w:type="page"/>
      </w:r>
    </w:p>
    <w:p w:rsidR="0039043E" w:rsidRDefault="0039043E" w:rsidP="0039043E">
      <w:pPr>
        <w:spacing w:before="12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lastRenderedPageBreak/>
        <w:t>3</w:t>
      </w:r>
      <w:r w:rsidRPr="001B21D5">
        <w:rPr>
          <w:rFonts w:ascii="Arial" w:hAnsi="Arial" w:cs="Arial"/>
          <w:b/>
          <w:u w:val="single"/>
          <w:lang w:val="es-ES"/>
        </w:rPr>
        <w:t xml:space="preserve">- </w:t>
      </w:r>
      <w:r>
        <w:rPr>
          <w:rFonts w:ascii="Arial" w:hAnsi="Arial" w:cs="Arial"/>
          <w:b/>
          <w:u w:val="single"/>
          <w:lang w:val="es-ES"/>
        </w:rPr>
        <w:t>EMISIONES DE REFERENCIA</w:t>
      </w:r>
    </w:p>
    <w:p w:rsidR="005172EA" w:rsidRDefault="00A340C0" w:rsidP="0039043E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El </w:t>
      </w:r>
      <w:r w:rsidRPr="00002A44">
        <w:rPr>
          <w:rFonts w:ascii="Arial" w:hAnsi="Arial" w:cs="Arial"/>
          <w:i/>
          <w:sz w:val="22"/>
          <w:szCs w:val="22"/>
          <w:lang w:val="es-ES"/>
        </w:rPr>
        <w:t>Real Decreto 317/2019, de 26 de abril</w:t>
      </w:r>
      <w:r>
        <w:rPr>
          <w:rFonts w:ascii="Arial" w:hAnsi="Arial" w:cs="Arial"/>
          <w:sz w:val="22"/>
          <w:szCs w:val="22"/>
          <w:lang w:val="es-ES"/>
        </w:rPr>
        <w:t xml:space="preserve">, en su </w:t>
      </w:r>
      <w:r w:rsidRPr="00002A44">
        <w:rPr>
          <w:rFonts w:ascii="Arial" w:hAnsi="Arial" w:cs="Arial"/>
          <w:i/>
          <w:sz w:val="22"/>
          <w:szCs w:val="22"/>
          <w:lang w:val="es-ES"/>
        </w:rPr>
        <w:t>Artículo 2</w:t>
      </w:r>
      <w:r>
        <w:rPr>
          <w:rFonts w:ascii="Arial" w:hAnsi="Arial" w:cs="Arial"/>
          <w:sz w:val="22"/>
          <w:szCs w:val="22"/>
          <w:lang w:val="es-ES"/>
        </w:rPr>
        <w:t xml:space="preserve">, </w:t>
      </w:r>
      <w:r w:rsidR="005172EA">
        <w:rPr>
          <w:rFonts w:ascii="Arial" w:hAnsi="Arial" w:cs="Arial"/>
          <w:sz w:val="22"/>
          <w:szCs w:val="22"/>
          <w:lang w:val="es-ES"/>
        </w:rPr>
        <w:t>considera una medida de mitigación equivalente,</w:t>
      </w:r>
      <w:r w:rsidR="005172EA" w:rsidRPr="005172EA">
        <w:rPr>
          <w:rFonts w:ascii="Arial" w:hAnsi="Arial" w:cs="Arial"/>
          <w:sz w:val="22"/>
          <w:szCs w:val="22"/>
          <w:lang w:val="es-ES"/>
        </w:rPr>
        <w:t xml:space="preserve"> </w:t>
      </w:r>
      <w:r w:rsidR="005172EA">
        <w:rPr>
          <w:rFonts w:ascii="Arial" w:hAnsi="Arial" w:cs="Arial"/>
          <w:sz w:val="22"/>
          <w:szCs w:val="22"/>
          <w:lang w:val="es-ES"/>
        </w:rPr>
        <w:t>aquella que obliga a una instalación de pequeño tamaño,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5172EA">
        <w:rPr>
          <w:rFonts w:ascii="Arial" w:hAnsi="Arial" w:cs="Arial"/>
          <w:sz w:val="22"/>
          <w:szCs w:val="22"/>
          <w:lang w:val="es-ES"/>
        </w:rPr>
        <w:t xml:space="preserve">a </w:t>
      </w:r>
      <w:r>
        <w:rPr>
          <w:rFonts w:ascii="Arial" w:hAnsi="Arial" w:cs="Arial"/>
          <w:sz w:val="22"/>
          <w:szCs w:val="22"/>
          <w:lang w:val="es-ES"/>
        </w:rPr>
        <w:t xml:space="preserve">reducir </w:t>
      </w:r>
      <w:r w:rsidR="005172EA">
        <w:rPr>
          <w:rFonts w:ascii="Arial" w:hAnsi="Arial" w:cs="Arial"/>
          <w:sz w:val="22"/>
          <w:szCs w:val="22"/>
          <w:lang w:val="es-ES"/>
        </w:rPr>
        <w:t>sus</w:t>
      </w:r>
      <w:r>
        <w:rPr>
          <w:rFonts w:ascii="Arial" w:hAnsi="Arial" w:cs="Arial"/>
          <w:sz w:val="22"/>
          <w:szCs w:val="22"/>
          <w:lang w:val="es-ES"/>
        </w:rPr>
        <w:t xml:space="preserve"> emisiones </w:t>
      </w:r>
      <w:r w:rsidR="005172EA">
        <w:rPr>
          <w:rFonts w:ascii="Arial" w:hAnsi="Arial" w:cs="Arial"/>
          <w:sz w:val="22"/>
          <w:szCs w:val="22"/>
          <w:lang w:val="es-ES"/>
        </w:rPr>
        <w:t xml:space="preserve">en un porcentaje </w:t>
      </w:r>
      <w:r>
        <w:rPr>
          <w:rFonts w:ascii="Arial" w:hAnsi="Arial" w:cs="Arial"/>
          <w:sz w:val="22"/>
          <w:szCs w:val="22"/>
          <w:lang w:val="es-ES"/>
        </w:rPr>
        <w:t xml:space="preserve">en cada año del periodo de asignación 2021-2025, </w:t>
      </w:r>
      <w:r w:rsidR="005172EA">
        <w:rPr>
          <w:rFonts w:ascii="Arial" w:hAnsi="Arial" w:cs="Arial"/>
          <w:sz w:val="22"/>
          <w:szCs w:val="22"/>
          <w:lang w:val="es-ES"/>
        </w:rPr>
        <w:t>respecto de sus emisiones del año 2005.</w:t>
      </w:r>
    </w:p>
    <w:p w:rsidR="00D34D79" w:rsidRDefault="005D0B66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Al no tener emisiones el año 2005, </w:t>
      </w:r>
      <w:r w:rsidR="0039043E">
        <w:rPr>
          <w:rFonts w:ascii="Arial" w:hAnsi="Arial" w:cs="Arial"/>
          <w:sz w:val="22"/>
          <w:szCs w:val="22"/>
          <w:lang w:val="es-ES"/>
        </w:rPr>
        <w:t xml:space="preserve">se aplica la jerarquía establecida en las directrices de la </w:t>
      </w:r>
      <w:proofErr w:type="spellStart"/>
      <w:r w:rsidR="0039043E">
        <w:rPr>
          <w:rFonts w:ascii="Arial" w:hAnsi="Arial" w:cs="Arial"/>
          <w:sz w:val="22"/>
          <w:szCs w:val="22"/>
          <w:lang w:val="es-ES"/>
        </w:rPr>
        <w:t>OECC</w:t>
      </w:r>
      <w:proofErr w:type="spellEnd"/>
      <w:r w:rsidR="0039043E">
        <w:rPr>
          <w:rFonts w:ascii="Arial" w:hAnsi="Arial" w:cs="Arial"/>
          <w:sz w:val="22"/>
          <w:szCs w:val="22"/>
          <w:lang w:val="es-ES"/>
        </w:rPr>
        <w:t>, en concreto, la que indica que en caso de haber tenido cambios significativos de capacidad (variación superior al 10%) durante todo su funcionamiento</w:t>
      </w:r>
      <w:r w:rsidR="00D34D79">
        <w:rPr>
          <w:rFonts w:ascii="Arial" w:hAnsi="Arial" w:cs="Arial"/>
          <w:sz w:val="22"/>
          <w:szCs w:val="22"/>
          <w:lang w:val="es-ES"/>
        </w:rPr>
        <w:t>, se considera el primer dato de emisiones que se considere re</w:t>
      </w:r>
      <w:r w:rsidR="00D22842">
        <w:rPr>
          <w:rFonts w:ascii="Arial" w:hAnsi="Arial" w:cs="Arial"/>
          <w:sz w:val="22"/>
          <w:szCs w:val="22"/>
          <w:lang w:val="es-ES"/>
        </w:rPr>
        <w:t xml:space="preserve">presentativo, siendo </w:t>
      </w:r>
      <w:r w:rsidR="00987D27">
        <w:rPr>
          <w:rFonts w:ascii="Arial" w:hAnsi="Arial" w:cs="Arial"/>
          <w:sz w:val="22"/>
          <w:szCs w:val="22"/>
          <w:lang w:val="es-ES"/>
        </w:rPr>
        <w:t xml:space="preserve">este </w:t>
      </w:r>
      <w:r w:rsidR="00D22842">
        <w:rPr>
          <w:rFonts w:ascii="Arial" w:hAnsi="Arial" w:cs="Arial"/>
          <w:sz w:val="22"/>
          <w:szCs w:val="22"/>
          <w:lang w:val="es-ES"/>
        </w:rPr>
        <w:t>el año 2014 con 6.085 tCO2.</w:t>
      </w:r>
    </w:p>
    <w:p w:rsidR="00D34D79" w:rsidRDefault="00D22842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Con el año representativo definido, y siguiendo con las directrices de la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OECC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se determina el dato del año 2005 aplicando el incremento anual del 1,74%</w:t>
      </w:r>
      <w:r w:rsidR="00987D27">
        <w:rPr>
          <w:rFonts w:ascii="Arial" w:hAnsi="Arial" w:cs="Arial"/>
          <w:sz w:val="22"/>
          <w:szCs w:val="22"/>
          <w:lang w:val="es-ES"/>
        </w:rPr>
        <w:t xml:space="preserve"> desde el año representativo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B07097">
        <w:rPr>
          <w:rFonts w:ascii="Arial" w:hAnsi="Arial" w:cs="Arial"/>
          <w:sz w:val="22"/>
          <w:szCs w:val="22"/>
          <w:lang w:val="es-ES"/>
        </w:rPr>
        <w:t>hasta el 2010 y este valor de 2010 se traslada al 2005 aplicando un incremento de 24,56%</w:t>
      </w:r>
      <w:r w:rsidR="00D34D79">
        <w:rPr>
          <w:rFonts w:ascii="Arial" w:hAnsi="Arial" w:cs="Arial"/>
          <w:sz w:val="22"/>
          <w:szCs w:val="22"/>
          <w:lang w:val="es-ES"/>
        </w:rPr>
        <w:t>.</w:t>
      </w:r>
    </w:p>
    <w:p w:rsidR="00B07097" w:rsidRDefault="00B07097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</w:p>
    <w:tbl>
      <w:tblPr>
        <w:tblStyle w:val="Tablaconcuadrcula"/>
        <w:tblW w:w="8897" w:type="dxa"/>
        <w:tblLook w:val="04A0" w:firstRow="1" w:lastRow="0" w:firstColumn="1" w:lastColumn="0" w:noHBand="0" w:noVBand="1"/>
      </w:tblPr>
      <w:tblGrid>
        <w:gridCol w:w="2627"/>
        <w:gridCol w:w="1254"/>
        <w:gridCol w:w="1254"/>
        <w:gridCol w:w="1254"/>
        <w:gridCol w:w="1254"/>
        <w:gridCol w:w="1254"/>
      </w:tblGrid>
      <w:tr w:rsidR="00B07097" w:rsidRPr="00DC465B" w:rsidTr="00B07097">
        <w:trPr>
          <w:trHeight w:val="340"/>
        </w:trPr>
        <w:tc>
          <w:tcPr>
            <w:tcW w:w="2627" w:type="dxa"/>
            <w:shd w:val="clear" w:color="auto" w:fill="D9D9D9" w:themeFill="background1" w:themeFillShade="D9"/>
            <w:vAlign w:val="center"/>
          </w:tcPr>
          <w:p w:rsidR="00B07097" w:rsidRPr="00DC465B" w:rsidRDefault="00B07097" w:rsidP="00E12C04">
            <w:pPr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REFERENCIA:  2014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B07097" w:rsidRPr="00DC465B" w:rsidRDefault="00B07097" w:rsidP="00B07097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</w:t>
            </w:r>
            <w:r>
              <w:rPr>
                <w:b/>
                <w:lang w:val="es-ES"/>
              </w:rPr>
              <w:t>10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B07097" w:rsidRPr="00DC465B" w:rsidRDefault="00B07097" w:rsidP="00B07097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</w:t>
            </w:r>
            <w:r>
              <w:rPr>
                <w:b/>
                <w:lang w:val="es-ES"/>
              </w:rPr>
              <w:t>11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B07097" w:rsidRPr="00DC465B" w:rsidRDefault="00B07097" w:rsidP="00B07097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</w:t>
            </w:r>
            <w:r>
              <w:rPr>
                <w:b/>
                <w:lang w:val="es-ES"/>
              </w:rPr>
              <w:t>12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B07097" w:rsidRPr="00DC465B" w:rsidRDefault="00B07097" w:rsidP="00B07097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</w:t>
            </w:r>
            <w:r>
              <w:rPr>
                <w:b/>
                <w:lang w:val="es-ES"/>
              </w:rPr>
              <w:t>13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B07097" w:rsidRPr="00DC465B" w:rsidRDefault="00B07097" w:rsidP="00B07097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</w:t>
            </w:r>
            <w:r>
              <w:rPr>
                <w:b/>
                <w:lang w:val="es-ES"/>
              </w:rPr>
              <w:t>14</w:t>
            </w:r>
          </w:p>
        </w:tc>
      </w:tr>
      <w:tr w:rsidR="00B07097" w:rsidRPr="00DC465B" w:rsidTr="006C592D">
        <w:trPr>
          <w:trHeight w:val="340"/>
        </w:trPr>
        <w:tc>
          <w:tcPr>
            <w:tcW w:w="2627" w:type="dxa"/>
            <w:vAlign w:val="center"/>
          </w:tcPr>
          <w:p w:rsidR="00B07097" w:rsidRPr="00DC465B" w:rsidRDefault="00B07097" w:rsidP="00B07097">
            <w:pPr>
              <w:rPr>
                <w:lang w:val="es-ES"/>
              </w:rPr>
            </w:pPr>
            <w:r w:rsidRPr="00DC465B">
              <w:rPr>
                <w:lang w:val="es-ES"/>
              </w:rPr>
              <w:t xml:space="preserve">% </w:t>
            </w:r>
            <w:r>
              <w:rPr>
                <w:lang w:val="es-ES"/>
              </w:rPr>
              <w:t>incremento</w:t>
            </w:r>
          </w:p>
        </w:tc>
        <w:tc>
          <w:tcPr>
            <w:tcW w:w="5016" w:type="dxa"/>
            <w:gridSpan w:val="4"/>
            <w:vAlign w:val="center"/>
          </w:tcPr>
          <w:p w:rsidR="00B07097" w:rsidRPr="00DC465B" w:rsidRDefault="00B07097" w:rsidP="00E12C0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1,74%</w:t>
            </w:r>
          </w:p>
        </w:tc>
        <w:tc>
          <w:tcPr>
            <w:tcW w:w="1254" w:type="dxa"/>
            <w:vAlign w:val="center"/>
          </w:tcPr>
          <w:p w:rsidR="00B07097" w:rsidRPr="00DC465B" w:rsidRDefault="00B07097" w:rsidP="00E12C04">
            <w:pPr>
              <w:jc w:val="center"/>
              <w:rPr>
                <w:lang w:val="es-ES"/>
              </w:rPr>
            </w:pPr>
          </w:p>
        </w:tc>
      </w:tr>
      <w:tr w:rsidR="00B07097" w:rsidRPr="00B07097" w:rsidTr="00B07097">
        <w:trPr>
          <w:trHeight w:val="340"/>
        </w:trPr>
        <w:tc>
          <w:tcPr>
            <w:tcW w:w="2627" w:type="dxa"/>
            <w:vAlign w:val="center"/>
          </w:tcPr>
          <w:p w:rsidR="00B07097" w:rsidRPr="00DC465B" w:rsidRDefault="00B07097" w:rsidP="00B07097">
            <w:pPr>
              <w:rPr>
                <w:lang w:val="es-ES"/>
              </w:rPr>
            </w:pPr>
            <w:r w:rsidRPr="00DC465B">
              <w:rPr>
                <w:lang w:val="es-ES"/>
              </w:rPr>
              <w:t xml:space="preserve">tCO2 </w:t>
            </w:r>
          </w:p>
        </w:tc>
        <w:tc>
          <w:tcPr>
            <w:tcW w:w="1254" w:type="dxa"/>
            <w:vAlign w:val="center"/>
          </w:tcPr>
          <w:p w:rsidR="00B07097" w:rsidRPr="00DC465B" w:rsidRDefault="00B07097" w:rsidP="00B0709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Pr="00DC465B">
              <w:rPr>
                <w:lang w:val="es-ES"/>
              </w:rPr>
              <w:t>.</w:t>
            </w:r>
            <w:r>
              <w:rPr>
                <w:lang w:val="es-ES"/>
              </w:rPr>
              <w:t>520</w:t>
            </w:r>
          </w:p>
        </w:tc>
        <w:tc>
          <w:tcPr>
            <w:tcW w:w="1254" w:type="dxa"/>
            <w:vAlign w:val="center"/>
          </w:tcPr>
          <w:p w:rsidR="00B07097" w:rsidRPr="00DC465B" w:rsidRDefault="00B07097" w:rsidP="00B0709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Pr="00DC465B">
              <w:rPr>
                <w:lang w:val="es-ES"/>
              </w:rPr>
              <w:t>.</w:t>
            </w:r>
            <w:r>
              <w:rPr>
                <w:lang w:val="es-ES"/>
              </w:rPr>
              <w:t>408</w:t>
            </w:r>
          </w:p>
        </w:tc>
        <w:tc>
          <w:tcPr>
            <w:tcW w:w="1254" w:type="dxa"/>
            <w:vAlign w:val="center"/>
          </w:tcPr>
          <w:p w:rsidR="00B07097" w:rsidRPr="00DC465B" w:rsidRDefault="00B07097" w:rsidP="00B0709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Pr="00DC465B">
              <w:rPr>
                <w:lang w:val="es-ES"/>
              </w:rPr>
              <w:t>.</w:t>
            </w:r>
            <w:r>
              <w:rPr>
                <w:lang w:val="es-ES"/>
              </w:rPr>
              <w:t>298</w:t>
            </w:r>
          </w:p>
        </w:tc>
        <w:tc>
          <w:tcPr>
            <w:tcW w:w="1254" w:type="dxa"/>
            <w:vAlign w:val="center"/>
          </w:tcPr>
          <w:p w:rsidR="00B07097" w:rsidRPr="00DC465B" w:rsidRDefault="00B07097" w:rsidP="00E12C0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6.191</w:t>
            </w:r>
          </w:p>
        </w:tc>
        <w:tc>
          <w:tcPr>
            <w:tcW w:w="1254" w:type="dxa"/>
            <w:vAlign w:val="center"/>
          </w:tcPr>
          <w:p w:rsidR="00B07097" w:rsidRPr="00DC465B" w:rsidRDefault="00B07097" w:rsidP="00B0709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Pr="00DC465B">
              <w:rPr>
                <w:lang w:val="es-ES"/>
              </w:rPr>
              <w:t>.</w:t>
            </w:r>
            <w:r>
              <w:rPr>
                <w:lang w:val="es-ES"/>
              </w:rPr>
              <w:t>085</w:t>
            </w:r>
          </w:p>
        </w:tc>
      </w:tr>
    </w:tbl>
    <w:p w:rsidR="00D34D79" w:rsidRDefault="00B07097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El valor del año 2010 </w:t>
      </w:r>
      <w:r w:rsidR="00DE10A6">
        <w:rPr>
          <w:rFonts w:ascii="Arial" w:hAnsi="Arial" w:cs="Arial"/>
          <w:sz w:val="22"/>
          <w:szCs w:val="22"/>
          <w:lang w:val="es-ES"/>
        </w:rPr>
        <w:t xml:space="preserve">trasladado </w:t>
      </w:r>
      <w:r>
        <w:rPr>
          <w:rFonts w:ascii="Arial" w:hAnsi="Arial" w:cs="Arial"/>
          <w:sz w:val="22"/>
          <w:szCs w:val="22"/>
          <w:lang w:val="es-ES"/>
        </w:rPr>
        <w:t xml:space="preserve">al </w:t>
      </w:r>
      <w:r w:rsidRPr="00987D27">
        <w:rPr>
          <w:rFonts w:ascii="Arial" w:hAnsi="Arial" w:cs="Arial"/>
          <w:sz w:val="22"/>
          <w:szCs w:val="22"/>
          <w:u w:val="single"/>
          <w:lang w:val="es-ES"/>
        </w:rPr>
        <w:t>2005 es</w:t>
      </w:r>
      <w:proofErr w:type="gramStart"/>
      <w:r w:rsidRPr="00987D27">
        <w:rPr>
          <w:rFonts w:ascii="Arial" w:hAnsi="Arial" w:cs="Arial"/>
          <w:sz w:val="22"/>
          <w:szCs w:val="22"/>
          <w:u w:val="single"/>
          <w:lang w:val="es-ES"/>
        </w:rPr>
        <w:t xml:space="preserve">:  </w:t>
      </w:r>
      <w:r w:rsidRPr="00987D27">
        <w:rPr>
          <w:rFonts w:ascii="Arial" w:hAnsi="Arial" w:cs="Arial"/>
          <w:b/>
          <w:sz w:val="22"/>
          <w:szCs w:val="22"/>
          <w:u w:val="single"/>
          <w:lang w:val="es-ES"/>
        </w:rPr>
        <w:t>8.121</w:t>
      </w:r>
      <w:proofErr w:type="gramEnd"/>
    </w:p>
    <w:p w:rsidR="00987D27" w:rsidRDefault="00987D27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</w:p>
    <w:p w:rsidR="00987D27" w:rsidRDefault="00987D27" w:rsidP="00A92293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</w:p>
    <w:p w:rsidR="00D34D79" w:rsidRDefault="005D0B66" w:rsidP="00D34D79">
      <w:pPr>
        <w:spacing w:before="12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D34D79">
        <w:rPr>
          <w:rFonts w:ascii="Arial" w:hAnsi="Arial" w:cs="Arial"/>
          <w:b/>
          <w:u w:val="single"/>
          <w:lang w:val="es-ES"/>
        </w:rPr>
        <w:t>4</w:t>
      </w:r>
      <w:r w:rsidR="00D34D79" w:rsidRPr="001B21D5">
        <w:rPr>
          <w:rFonts w:ascii="Arial" w:hAnsi="Arial" w:cs="Arial"/>
          <w:b/>
          <w:u w:val="single"/>
          <w:lang w:val="es-ES"/>
        </w:rPr>
        <w:t xml:space="preserve">- </w:t>
      </w:r>
      <w:r w:rsidR="00D34D79">
        <w:rPr>
          <w:rFonts w:ascii="Arial" w:hAnsi="Arial" w:cs="Arial"/>
          <w:b/>
          <w:u w:val="single"/>
          <w:lang w:val="es-ES"/>
        </w:rPr>
        <w:t>EMISIONES 2021-2025</w:t>
      </w:r>
    </w:p>
    <w:p w:rsidR="00D34D79" w:rsidRDefault="00D34D79" w:rsidP="00D34D79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La medida de mitigación equivalente para cada uno de los años 2021-20</w:t>
      </w:r>
      <w:r w:rsidR="000C7680">
        <w:rPr>
          <w:rFonts w:ascii="Arial" w:hAnsi="Arial" w:cs="Arial"/>
          <w:sz w:val="22"/>
          <w:szCs w:val="22"/>
          <w:lang w:val="es-ES"/>
        </w:rPr>
        <w:t>2</w:t>
      </w:r>
      <w:r>
        <w:rPr>
          <w:rFonts w:ascii="Arial" w:hAnsi="Arial" w:cs="Arial"/>
          <w:sz w:val="22"/>
          <w:szCs w:val="22"/>
          <w:lang w:val="es-ES"/>
        </w:rPr>
        <w:t>5 es:</w:t>
      </w:r>
    </w:p>
    <w:p w:rsidR="00D34D79" w:rsidRDefault="00D34D79" w:rsidP="001E732B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  <w:lang w:val="es-ES"/>
        </w:rPr>
      </w:pPr>
    </w:p>
    <w:tbl>
      <w:tblPr>
        <w:tblStyle w:val="Tablaconcuadrcula"/>
        <w:tblW w:w="8897" w:type="dxa"/>
        <w:tblLook w:val="04A0" w:firstRow="1" w:lastRow="0" w:firstColumn="1" w:lastColumn="0" w:noHBand="0" w:noVBand="1"/>
      </w:tblPr>
      <w:tblGrid>
        <w:gridCol w:w="2627"/>
        <w:gridCol w:w="1254"/>
        <w:gridCol w:w="1254"/>
        <w:gridCol w:w="1254"/>
        <w:gridCol w:w="1254"/>
        <w:gridCol w:w="1254"/>
      </w:tblGrid>
      <w:tr w:rsidR="00D34D79" w:rsidRPr="00DC465B" w:rsidTr="00DE10A6">
        <w:trPr>
          <w:trHeight w:val="340"/>
        </w:trPr>
        <w:tc>
          <w:tcPr>
            <w:tcW w:w="2627" w:type="dxa"/>
            <w:shd w:val="clear" w:color="auto" w:fill="D9D9D9" w:themeFill="background1" w:themeFillShade="D9"/>
            <w:vAlign w:val="center"/>
          </w:tcPr>
          <w:p w:rsidR="00D34D79" w:rsidRPr="00DC465B" w:rsidRDefault="00D34D79" w:rsidP="00B07097">
            <w:pPr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 xml:space="preserve">REFERENCIA: </w:t>
            </w:r>
            <w:r w:rsidR="000C7680" w:rsidRPr="00DC465B">
              <w:rPr>
                <w:b/>
                <w:lang w:val="es-ES"/>
              </w:rPr>
              <w:t xml:space="preserve"> </w:t>
            </w:r>
            <w:r w:rsidR="00B07097">
              <w:rPr>
                <w:b/>
                <w:lang w:val="es-ES"/>
              </w:rPr>
              <w:t>8.121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D34D79" w:rsidRPr="00DC465B" w:rsidRDefault="00D34D79" w:rsidP="0089176D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2021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D34D79" w:rsidRPr="00DC465B" w:rsidRDefault="00D34D79" w:rsidP="0089176D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2022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D34D79" w:rsidRPr="00DC465B" w:rsidRDefault="00D34D79" w:rsidP="0089176D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2023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D34D79" w:rsidRPr="00DC465B" w:rsidRDefault="00D34D79" w:rsidP="0089176D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2024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D34D79" w:rsidRPr="00DC465B" w:rsidRDefault="00D34D79" w:rsidP="0089176D">
            <w:pPr>
              <w:jc w:val="center"/>
              <w:rPr>
                <w:b/>
                <w:lang w:val="es-ES"/>
              </w:rPr>
            </w:pPr>
            <w:r w:rsidRPr="00DC465B">
              <w:rPr>
                <w:b/>
                <w:lang w:val="es-ES"/>
              </w:rPr>
              <w:t>2025</w:t>
            </w:r>
          </w:p>
        </w:tc>
      </w:tr>
      <w:tr w:rsidR="00D34D79" w:rsidRPr="00DC465B" w:rsidTr="00DE10A6">
        <w:trPr>
          <w:trHeight w:val="340"/>
        </w:trPr>
        <w:tc>
          <w:tcPr>
            <w:tcW w:w="2627" w:type="dxa"/>
            <w:vAlign w:val="center"/>
          </w:tcPr>
          <w:p w:rsidR="00D34D79" w:rsidRPr="00DC465B" w:rsidRDefault="00D34D79" w:rsidP="0089176D">
            <w:pPr>
              <w:rPr>
                <w:lang w:val="es-ES"/>
              </w:rPr>
            </w:pPr>
            <w:r w:rsidRPr="00DC465B">
              <w:rPr>
                <w:lang w:val="es-ES"/>
              </w:rPr>
              <w:t>%</w:t>
            </w:r>
            <w:r w:rsidR="000C7680" w:rsidRPr="00DC465B">
              <w:rPr>
                <w:lang w:val="es-ES"/>
              </w:rPr>
              <w:t xml:space="preserve"> </w:t>
            </w:r>
            <w:r w:rsidRPr="00DC465B">
              <w:rPr>
                <w:lang w:val="es-ES"/>
              </w:rPr>
              <w:t>reducción</w:t>
            </w:r>
          </w:p>
        </w:tc>
        <w:tc>
          <w:tcPr>
            <w:tcW w:w="1254" w:type="dxa"/>
            <w:vAlign w:val="center"/>
          </w:tcPr>
          <w:p w:rsidR="00D34D79" w:rsidRPr="00DC465B" w:rsidRDefault="00D34D79" w:rsidP="0089176D">
            <w:pPr>
              <w:jc w:val="center"/>
              <w:rPr>
                <w:lang w:val="es-ES"/>
              </w:rPr>
            </w:pPr>
            <w:r w:rsidRPr="00DC465B">
              <w:rPr>
                <w:lang w:val="es-ES"/>
              </w:rPr>
              <w:t>23.2%</w:t>
            </w:r>
          </w:p>
        </w:tc>
        <w:tc>
          <w:tcPr>
            <w:tcW w:w="1254" w:type="dxa"/>
            <w:vAlign w:val="center"/>
          </w:tcPr>
          <w:p w:rsidR="00D34D79" w:rsidRPr="00DC465B" w:rsidRDefault="00D34D79" w:rsidP="0089176D">
            <w:pPr>
              <w:jc w:val="center"/>
              <w:rPr>
                <w:lang w:val="es-ES"/>
              </w:rPr>
            </w:pPr>
            <w:r w:rsidRPr="00DC465B">
              <w:rPr>
                <w:lang w:val="es-ES"/>
              </w:rPr>
              <w:t>25,4%</w:t>
            </w:r>
          </w:p>
        </w:tc>
        <w:tc>
          <w:tcPr>
            <w:tcW w:w="1254" w:type="dxa"/>
            <w:vAlign w:val="center"/>
          </w:tcPr>
          <w:p w:rsidR="00D34D79" w:rsidRPr="00DC465B" w:rsidRDefault="00D34D79" w:rsidP="0089176D">
            <w:pPr>
              <w:jc w:val="center"/>
              <w:rPr>
                <w:lang w:val="es-ES"/>
              </w:rPr>
            </w:pPr>
            <w:r w:rsidRPr="00DC465B">
              <w:rPr>
                <w:lang w:val="es-ES"/>
              </w:rPr>
              <w:t>27,6%</w:t>
            </w:r>
          </w:p>
        </w:tc>
        <w:tc>
          <w:tcPr>
            <w:tcW w:w="1254" w:type="dxa"/>
            <w:vAlign w:val="center"/>
          </w:tcPr>
          <w:p w:rsidR="00D34D79" w:rsidRPr="00DC465B" w:rsidRDefault="00D34D79" w:rsidP="0089176D">
            <w:pPr>
              <w:jc w:val="center"/>
              <w:rPr>
                <w:lang w:val="es-ES"/>
              </w:rPr>
            </w:pPr>
            <w:r w:rsidRPr="00DC465B">
              <w:rPr>
                <w:lang w:val="es-ES"/>
              </w:rPr>
              <w:t>29,8%</w:t>
            </w:r>
          </w:p>
        </w:tc>
        <w:tc>
          <w:tcPr>
            <w:tcW w:w="1254" w:type="dxa"/>
            <w:vAlign w:val="center"/>
          </w:tcPr>
          <w:p w:rsidR="00D34D79" w:rsidRPr="00DC465B" w:rsidRDefault="00D34D79" w:rsidP="0089176D">
            <w:pPr>
              <w:jc w:val="center"/>
              <w:rPr>
                <w:lang w:val="es-ES"/>
              </w:rPr>
            </w:pPr>
            <w:r w:rsidRPr="00DC465B">
              <w:rPr>
                <w:lang w:val="es-ES"/>
              </w:rPr>
              <w:t>32,0%</w:t>
            </w:r>
          </w:p>
        </w:tc>
      </w:tr>
      <w:tr w:rsidR="00D34D79" w:rsidRPr="00DC465B" w:rsidTr="00DE10A6">
        <w:trPr>
          <w:trHeight w:val="513"/>
        </w:trPr>
        <w:tc>
          <w:tcPr>
            <w:tcW w:w="2627" w:type="dxa"/>
            <w:vAlign w:val="center"/>
          </w:tcPr>
          <w:p w:rsidR="00D34D79" w:rsidRPr="00DC465B" w:rsidRDefault="00D34D79" w:rsidP="0089176D">
            <w:pPr>
              <w:jc w:val="center"/>
              <w:rPr>
                <w:b/>
                <w:sz w:val="28"/>
                <w:szCs w:val="28"/>
                <w:lang w:val="es-ES"/>
              </w:rPr>
            </w:pPr>
            <w:r w:rsidRPr="00DC465B">
              <w:rPr>
                <w:b/>
                <w:sz w:val="28"/>
                <w:szCs w:val="28"/>
                <w:lang w:val="es-ES"/>
              </w:rPr>
              <w:t>tCO2</w:t>
            </w:r>
          </w:p>
        </w:tc>
        <w:tc>
          <w:tcPr>
            <w:tcW w:w="1254" w:type="dxa"/>
            <w:vAlign w:val="center"/>
          </w:tcPr>
          <w:p w:rsidR="00D34D79" w:rsidRPr="00DC465B" w:rsidRDefault="00DE10A6" w:rsidP="00DE10A6">
            <w:pPr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6</w:t>
            </w:r>
            <w:r w:rsidR="00D34D79" w:rsidRPr="00DC465B">
              <w:rPr>
                <w:b/>
                <w:sz w:val="28"/>
                <w:szCs w:val="28"/>
                <w:lang w:val="es-ES"/>
              </w:rPr>
              <w:t>.</w:t>
            </w:r>
            <w:r>
              <w:rPr>
                <w:b/>
                <w:sz w:val="28"/>
                <w:szCs w:val="28"/>
                <w:lang w:val="es-ES"/>
              </w:rPr>
              <w:t>237</w:t>
            </w:r>
          </w:p>
        </w:tc>
        <w:tc>
          <w:tcPr>
            <w:tcW w:w="1254" w:type="dxa"/>
            <w:vAlign w:val="center"/>
          </w:tcPr>
          <w:p w:rsidR="00D34D79" w:rsidRPr="00DC465B" w:rsidRDefault="00DE10A6" w:rsidP="00DE10A6">
            <w:pPr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6</w:t>
            </w:r>
            <w:r w:rsidR="00D34D79" w:rsidRPr="00DC465B">
              <w:rPr>
                <w:b/>
                <w:sz w:val="28"/>
                <w:szCs w:val="28"/>
                <w:lang w:val="es-ES"/>
              </w:rPr>
              <w:t>.</w:t>
            </w:r>
            <w:r>
              <w:rPr>
                <w:b/>
                <w:sz w:val="28"/>
                <w:szCs w:val="28"/>
                <w:lang w:val="es-ES"/>
              </w:rPr>
              <w:t>0</w:t>
            </w:r>
            <w:r w:rsidR="00D34D79" w:rsidRPr="00DC465B">
              <w:rPr>
                <w:b/>
                <w:sz w:val="28"/>
                <w:szCs w:val="28"/>
                <w:lang w:val="es-ES"/>
              </w:rPr>
              <w:t>5</w:t>
            </w:r>
            <w:r>
              <w:rPr>
                <w:b/>
                <w:sz w:val="28"/>
                <w:szCs w:val="28"/>
                <w:lang w:val="es-ES"/>
              </w:rPr>
              <w:t>8</w:t>
            </w:r>
          </w:p>
        </w:tc>
        <w:tc>
          <w:tcPr>
            <w:tcW w:w="1254" w:type="dxa"/>
            <w:vAlign w:val="center"/>
          </w:tcPr>
          <w:p w:rsidR="00D34D79" w:rsidRPr="00DC465B" w:rsidRDefault="00DE10A6" w:rsidP="00DE10A6">
            <w:pPr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5</w:t>
            </w:r>
            <w:r w:rsidR="00D34D79" w:rsidRPr="00DC465B">
              <w:rPr>
                <w:b/>
                <w:sz w:val="28"/>
                <w:szCs w:val="28"/>
                <w:lang w:val="es-ES"/>
              </w:rPr>
              <w:t>.</w:t>
            </w:r>
            <w:r>
              <w:rPr>
                <w:b/>
                <w:sz w:val="28"/>
                <w:szCs w:val="28"/>
                <w:lang w:val="es-ES"/>
              </w:rPr>
              <w:t>880</w:t>
            </w:r>
          </w:p>
        </w:tc>
        <w:tc>
          <w:tcPr>
            <w:tcW w:w="1254" w:type="dxa"/>
            <w:vAlign w:val="center"/>
          </w:tcPr>
          <w:p w:rsidR="00D34D79" w:rsidRPr="00DC465B" w:rsidRDefault="00DE10A6" w:rsidP="00DE10A6">
            <w:pPr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5</w:t>
            </w:r>
            <w:r w:rsidR="00D34D79" w:rsidRPr="00DC465B">
              <w:rPr>
                <w:b/>
                <w:sz w:val="28"/>
                <w:szCs w:val="28"/>
                <w:lang w:val="es-ES"/>
              </w:rPr>
              <w:t>.</w:t>
            </w:r>
            <w:r>
              <w:rPr>
                <w:b/>
                <w:sz w:val="28"/>
                <w:szCs w:val="28"/>
                <w:lang w:val="es-ES"/>
              </w:rPr>
              <w:t>701</w:t>
            </w:r>
          </w:p>
        </w:tc>
        <w:tc>
          <w:tcPr>
            <w:tcW w:w="1254" w:type="dxa"/>
            <w:vAlign w:val="center"/>
          </w:tcPr>
          <w:p w:rsidR="00D34D79" w:rsidRPr="00DC465B" w:rsidRDefault="00DE10A6" w:rsidP="00DE10A6">
            <w:pPr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5</w:t>
            </w:r>
            <w:r w:rsidR="00D34D79" w:rsidRPr="00DC465B">
              <w:rPr>
                <w:b/>
                <w:sz w:val="28"/>
                <w:szCs w:val="28"/>
                <w:lang w:val="es-ES"/>
              </w:rPr>
              <w:t>.</w:t>
            </w:r>
            <w:r>
              <w:rPr>
                <w:b/>
                <w:sz w:val="28"/>
                <w:szCs w:val="28"/>
                <w:lang w:val="es-ES"/>
              </w:rPr>
              <w:t>522</w:t>
            </w:r>
          </w:p>
        </w:tc>
      </w:tr>
    </w:tbl>
    <w:p w:rsidR="00D34D79" w:rsidRDefault="00920413" w:rsidP="00D34D79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 adjunta declaración jurada del director de la fábrica, Felipe García Martín.</w:t>
      </w:r>
    </w:p>
    <w:p w:rsidR="00920413" w:rsidRDefault="00920413" w:rsidP="00D34D79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</w:p>
    <w:p w:rsidR="00987D27" w:rsidRDefault="00987D27" w:rsidP="00D34D79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</w:p>
    <w:p w:rsidR="00926DB3" w:rsidRDefault="00926DB3" w:rsidP="00926DB3">
      <w:pPr>
        <w:spacing w:before="120" w:after="120"/>
        <w:ind w:right="-839"/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t>5</w:t>
      </w:r>
      <w:r w:rsidRPr="001B21D5">
        <w:rPr>
          <w:rFonts w:ascii="Arial" w:hAnsi="Arial" w:cs="Arial"/>
          <w:b/>
          <w:u w:val="single"/>
          <w:lang w:val="es-ES"/>
        </w:rPr>
        <w:t xml:space="preserve">- </w:t>
      </w:r>
      <w:r>
        <w:rPr>
          <w:rFonts w:ascii="Arial" w:hAnsi="Arial" w:cs="Arial"/>
          <w:b/>
          <w:u w:val="single"/>
          <w:lang w:val="es-ES"/>
        </w:rPr>
        <w:t>PLAN DE SEGUIMIENTO</w:t>
      </w:r>
    </w:p>
    <w:p w:rsidR="002925BB" w:rsidRDefault="00CE76E2" w:rsidP="006D68F8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Se adjunta Plan de seguimiento </w:t>
      </w:r>
      <w:r w:rsidR="006B72B5">
        <w:rPr>
          <w:rFonts w:ascii="Arial" w:hAnsi="Arial" w:cs="Arial"/>
          <w:sz w:val="22"/>
          <w:szCs w:val="22"/>
          <w:lang w:val="es-ES"/>
        </w:rPr>
        <w:t>en vigor</w:t>
      </w:r>
      <w:r w:rsidR="00807624">
        <w:rPr>
          <w:rFonts w:ascii="Arial" w:hAnsi="Arial" w:cs="Arial"/>
          <w:sz w:val="22"/>
          <w:szCs w:val="22"/>
          <w:lang w:val="es-ES"/>
        </w:rPr>
        <w:t>.</w:t>
      </w:r>
    </w:p>
    <w:p w:rsidR="006B72B5" w:rsidRDefault="006B72B5" w:rsidP="006D68F8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</w:pPr>
    </w:p>
    <w:p w:rsidR="006B72B5" w:rsidRPr="002925BB" w:rsidRDefault="006B72B5" w:rsidP="006D68F8">
      <w:pPr>
        <w:numPr>
          <w:ilvl w:val="12"/>
          <w:numId w:val="0"/>
        </w:numPr>
        <w:spacing w:before="240" w:after="60"/>
        <w:jc w:val="both"/>
        <w:rPr>
          <w:rFonts w:ascii="Arial" w:hAnsi="Arial" w:cs="Arial"/>
          <w:sz w:val="22"/>
          <w:szCs w:val="22"/>
          <w:lang w:val="es-ES"/>
        </w:rPr>
        <w:sectPr w:rsidR="006B72B5" w:rsidRPr="002925BB" w:rsidSect="00987D27">
          <w:headerReference w:type="default" r:id="rId9"/>
          <w:footerReference w:type="default" r:id="rId10"/>
          <w:type w:val="continuous"/>
          <w:pgSz w:w="11906" w:h="16838" w:code="9"/>
          <w:pgMar w:top="2127" w:right="1276" w:bottom="1560" w:left="1418" w:header="709" w:footer="709" w:gutter="0"/>
          <w:pgNumType w:start="1"/>
          <w:cols w:space="708"/>
          <w:docGrid w:linePitch="360"/>
        </w:sectPr>
      </w:pPr>
    </w:p>
    <w:p w:rsidR="000A6A28" w:rsidRDefault="000A6A28" w:rsidP="006B72B5">
      <w:pPr>
        <w:jc w:val="both"/>
        <w:rPr>
          <w:sz w:val="20"/>
          <w:szCs w:val="20"/>
          <w:lang w:val="es-ES"/>
        </w:rPr>
      </w:pPr>
    </w:p>
    <w:sectPr w:rsidR="000A6A28" w:rsidSect="006B72B5">
      <w:headerReference w:type="default" r:id="rId11"/>
      <w:footerReference w:type="default" r:id="rId12"/>
      <w:type w:val="continuous"/>
      <w:pgSz w:w="11906" w:h="16838" w:code="9"/>
      <w:pgMar w:top="1440" w:right="1945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210" w:rsidRDefault="00987210">
      <w:r>
        <w:separator/>
      </w:r>
    </w:p>
  </w:endnote>
  <w:endnote w:type="continuationSeparator" w:id="0">
    <w:p w:rsidR="00987210" w:rsidRDefault="0098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210" w:rsidRPr="00BE7FB3" w:rsidRDefault="00987210" w:rsidP="00BE7FB3">
    <w:pPr>
      <w:pStyle w:val="Piedepgina"/>
      <w:tabs>
        <w:tab w:val="clear" w:pos="8504"/>
      </w:tabs>
      <w:ind w:left="-360" w:right="-960"/>
      <w:rPr>
        <w:rFonts w:ascii="Comic Sans MS" w:hAnsi="Comic Sans MS"/>
        <w:sz w:val="16"/>
        <w:szCs w:val="16"/>
        <w:lang w:val="es-ES"/>
      </w:rPr>
    </w:pPr>
    <w:r w:rsidRPr="00DB7DB7">
      <w:rPr>
        <w:rFonts w:ascii="Comic Sans MS" w:hAnsi="Comic Sans MS"/>
        <w:sz w:val="16"/>
        <w:szCs w:val="16"/>
        <w:lang w:val="es-ES"/>
      </w:rPr>
      <w:t xml:space="preserve">Ref. Doc. : </w:t>
    </w:r>
    <w:r w:rsidR="007D7F1A">
      <w:rPr>
        <w:rFonts w:ascii="Comic Sans MS" w:hAnsi="Comic Sans MS"/>
        <w:sz w:val="16"/>
        <w:szCs w:val="16"/>
        <w:lang w:val="es-ES"/>
      </w:rPr>
      <w:t xml:space="preserve">Exclusión 2021 – 2025                  </w:t>
    </w:r>
    <w:r>
      <w:rPr>
        <w:rFonts w:ascii="Comic Sans MS" w:hAnsi="Comic Sans MS"/>
        <w:sz w:val="16"/>
        <w:szCs w:val="16"/>
        <w:lang w:val="es-ES"/>
      </w:rPr>
      <w:t xml:space="preserve">           </w:t>
    </w:r>
    <w:r w:rsidR="007D7F1A">
      <w:rPr>
        <w:rFonts w:ascii="Comic Sans MS" w:hAnsi="Comic Sans MS"/>
        <w:sz w:val="16"/>
        <w:szCs w:val="16"/>
        <w:lang w:val="es-ES"/>
      </w:rPr>
      <w:t xml:space="preserve">                 </w:t>
    </w:r>
    <w:r>
      <w:rPr>
        <w:rFonts w:ascii="Comic Sans MS" w:hAnsi="Comic Sans MS"/>
        <w:sz w:val="16"/>
        <w:szCs w:val="16"/>
        <w:lang w:val="es-ES"/>
      </w:rPr>
      <w:t xml:space="preserve"> </w:t>
    </w:r>
    <w:r w:rsidR="007D7F1A">
      <w:rPr>
        <w:rFonts w:ascii="Comic Sans MS" w:hAnsi="Comic Sans MS"/>
        <w:sz w:val="16"/>
        <w:szCs w:val="16"/>
        <w:lang w:val="es-ES"/>
      </w:rPr>
      <w:t xml:space="preserve">Mayo </w:t>
    </w:r>
    <w:r>
      <w:rPr>
        <w:rFonts w:ascii="Comic Sans MS" w:hAnsi="Comic Sans MS"/>
        <w:sz w:val="16"/>
        <w:szCs w:val="16"/>
        <w:lang w:val="es-ES"/>
      </w:rPr>
      <w:t>201</w:t>
    </w:r>
    <w:r w:rsidR="00F64FA5">
      <w:rPr>
        <w:rFonts w:ascii="Comic Sans MS" w:hAnsi="Comic Sans MS"/>
        <w:sz w:val="16"/>
        <w:szCs w:val="16"/>
        <w:lang w:val="es-ES"/>
      </w:rPr>
      <w:t>9</w:t>
    </w:r>
    <w:r w:rsidRPr="00DB7DB7">
      <w:rPr>
        <w:rFonts w:ascii="Comic Sans MS" w:hAnsi="Comic Sans MS"/>
        <w:sz w:val="16"/>
        <w:szCs w:val="16"/>
        <w:lang w:val="es-ES"/>
      </w:rPr>
      <w:t xml:space="preserve">    </w:t>
    </w:r>
    <w:r w:rsidR="007D7F1A">
      <w:rPr>
        <w:rFonts w:ascii="Comic Sans MS" w:hAnsi="Comic Sans MS"/>
        <w:sz w:val="16"/>
        <w:szCs w:val="16"/>
        <w:lang w:val="es-ES"/>
      </w:rPr>
      <w:t xml:space="preserve">               </w:t>
    </w:r>
    <w:r w:rsidRPr="00DB7DB7">
      <w:rPr>
        <w:rFonts w:ascii="Comic Sans MS" w:hAnsi="Comic Sans MS"/>
        <w:sz w:val="16"/>
        <w:szCs w:val="16"/>
        <w:lang w:val="es-ES"/>
      </w:rPr>
      <w:t xml:space="preserve">                        </w:t>
    </w:r>
    <w:r>
      <w:rPr>
        <w:rFonts w:ascii="Comic Sans MS" w:hAnsi="Comic Sans MS"/>
        <w:sz w:val="16"/>
        <w:szCs w:val="16"/>
        <w:lang w:val="es-ES"/>
      </w:rPr>
      <w:t xml:space="preserve">               </w:t>
    </w:r>
    <w:r w:rsidRPr="00DB7DB7">
      <w:rPr>
        <w:rFonts w:ascii="Comic Sans MS" w:hAnsi="Comic Sans MS"/>
        <w:sz w:val="16"/>
        <w:szCs w:val="16"/>
        <w:lang w:val="es-ES"/>
      </w:rPr>
      <w:t xml:space="preserve">               Pág. </w:t>
    </w:r>
    <w:r w:rsidRPr="005B175C">
      <w:rPr>
        <w:rStyle w:val="Nmerodepgina"/>
        <w:rFonts w:ascii="Comic Sans MS" w:hAnsi="Comic Sans MS"/>
        <w:sz w:val="16"/>
        <w:szCs w:val="16"/>
      </w:rPr>
      <w:fldChar w:fldCharType="begin"/>
    </w:r>
    <w:r w:rsidRPr="005B175C">
      <w:rPr>
        <w:rStyle w:val="Nmerodepgina"/>
        <w:rFonts w:ascii="Comic Sans MS" w:hAnsi="Comic Sans MS"/>
        <w:sz w:val="16"/>
        <w:szCs w:val="16"/>
        <w:lang w:val="es-ES"/>
      </w:rPr>
      <w:instrText xml:space="preserve"> PAGE </w:instrText>
    </w:r>
    <w:r w:rsidRPr="005B175C">
      <w:rPr>
        <w:rStyle w:val="Nmerodepgina"/>
        <w:rFonts w:ascii="Comic Sans MS" w:hAnsi="Comic Sans MS"/>
        <w:sz w:val="16"/>
        <w:szCs w:val="16"/>
      </w:rPr>
      <w:fldChar w:fldCharType="separate"/>
    </w:r>
    <w:r w:rsidR="00987D27">
      <w:rPr>
        <w:rStyle w:val="Nmerodepgina"/>
        <w:rFonts w:ascii="Comic Sans MS" w:hAnsi="Comic Sans MS"/>
        <w:noProof/>
        <w:sz w:val="16"/>
        <w:szCs w:val="16"/>
        <w:lang w:val="es-ES"/>
      </w:rPr>
      <w:t>1</w:t>
    </w:r>
    <w:r w:rsidRPr="005B175C">
      <w:rPr>
        <w:rStyle w:val="Nmerodepgina"/>
        <w:rFonts w:ascii="Comic Sans MS" w:hAnsi="Comic Sans MS"/>
        <w:sz w:val="16"/>
        <w:szCs w:val="16"/>
      </w:rPr>
      <w:fldChar w:fldCharType="end"/>
    </w:r>
    <w:r w:rsidRPr="00DB7DB7">
      <w:rPr>
        <w:rStyle w:val="Nmerodepgina"/>
        <w:rFonts w:ascii="Comic Sans MS" w:hAnsi="Comic Sans MS"/>
        <w:sz w:val="16"/>
        <w:szCs w:val="16"/>
      </w:rPr>
      <w:t>/</w:t>
    </w:r>
    <w:r w:rsidR="00987D27">
      <w:rPr>
        <w:rStyle w:val="Nmerodepgina"/>
        <w:rFonts w:ascii="Comic Sans MS" w:hAnsi="Comic Sans MS"/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210" w:rsidRPr="006D68F8" w:rsidRDefault="00987210" w:rsidP="006D68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210" w:rsidRDefault="00987210">
      <w:r>
        <w:separator/>
      </w:r>
    </w:p>
  </w:footnote>
  <w:footnote w:type="continuationSeparator" w:id="0">
    <w:p w:rsidR="00987210" w:rsidRDefault="00987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210" w:rsidRPr="00116559" w:rsidRDefault="00987210" w:rsidP="00DB5C89">
    <w:pPr>
      <w:spacing w:after="120"/>
      <w:jc w:val="center"/>
      <w:rPr>
        <w:b/>
        <w:color w:val="0000FF"/>
        <w:sz w:val="22"/>
        <w:szCs w:val="22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16559">
      <w:rPr>
        <w:rFonts w:ascii="Comic Sans MS" w:hAnsi="Comic Sans MS"/>
        <w:b/>
        <w:color w:val="0000FF"/>
        <w:sz w:val="22"/>
        <w:szCs w:val="22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MICHELIN ESPAÑA PORTUGAL S.A.  – LASARTE -</w:t>
    </w:r>
  </w:p>
  <w:p w:rsidR="00116559" w:rsidRPr="00116559" w:rsidRDefault="007D7F1A" w:rsidP="00DB5C89">
    <w:pPr>
      <w:jc w:val="center"/>
      <w:rPr>
        <w:rFonts w:ascii="Comic Sans MS" w:hAnsi="Comic Sans MS"/>
        <w:b/>
        <w:color w:val="0000FF"/>
        <w:sz w:val="22"/>
        <w:szCs w:val="22"/>
        <w:u w:val="single"/>
        <w:lang w:val="es-ES"/>
      </w:rPr>
    </w:pPr>
    <w:r>
      <w:rPr>
        <w:rFonts w:ascii="Comic Sans MS" w:hAnsi="Comic Sans MS"/>
        <w:b/>
        <w:color w:val="0000FF"/>
        <w:sz w:val="22"/>
        <w:szCs w:val="22"/>
        <w:u w:val="single"/>
        <w:lang w:val="es-ES"/>
      </w:rPr>
      <w:t>Exclusión</w:t>
    </w:r>
    <w:r w:rsidR="005172EA">
      <w:rPr>
        <w:rFonts w:ascii="Comic Sans MS" w:hAnsi="Comic Sans MS"/>
        <w:b/>
        <w:color w:val="0000FF"/>
        <w:sz w:val="22"/>
        <w:szCs w:val="22"/>
        <w:u w:val="single"/>
        <w:lang w:val="es-ES"/>
      </w:rPr>
      <w:t xml:space="preserve"> </w:t>
    </w:r>
    <w:proofErr w:type="spellStart"/>
    <w:r w:rsidR="005172EA">
      <w:rPr>
        <w:rFonts w:ascii="Comic Sans MS" w:hAnsi="Comic Sans MS"/>
        <w:b/>
        <w:color w:val="0000FF"/>
        <w:sz w:val="22"/>
        <w:szCs w:val="22"/>
        <w:u w:val="single"/>
        <w:lang w:val="es-ES"/>
      </w:rPr>
      <w:t>RCDE</w:t>
    </w:r>
    <w:proofErr w:type="spellEnd"/>
    <w:r w:rsidR="005172EA">
      <w:rPr>
        <w:rFonts w:ascii="Comic Sans MS" w:hAnsi="Comic Sans MS"/>
        <w:b/>
        <w:color w:val="0000FF"/>
        <w:sz w:val="22"/>
        <w:szCs w:val="22"/>
        <w:u w:val="single"/>
        <w:lang w:val="es-ES"/>
      </w:rPr>
      <w:t xml:space="preserve"> 2021-2025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F8" w:rsidRPr="006D68F8" w:rsidRDefault="006D68F8" w:rsidP="006D68F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07"/>
      </v:shape>
    </w:pict>
  </w:numPicBullet>
  <w:abstractNum w:abstractNumId="0">
    <w:nsid w:val="03B2016E"/>
    <w:multiLevelType w:val="hybridMultilevel"/>
    <w:tmpl w:val="0CA2FED6"/>
    <w:lvl w:ilvl="0" w:tplc="2C284656">
      <w:start w:val="1"/>
      <w:numFmt w:val="bullet"/>
      <w:lvlText w:val=""/>
      <w:lvlJc w:val="left"/>
      <w:pPr>
        <w:tabs>
          <w:tab w:val="num" w:pos="2789"/>
        </w:tabs>
        <w:ind w:left="2902" w:hanging="320"/>
      </w:pPr>
      <w:rPr>
        <w:rFonts w:ascii="Wingdings" w:hAnsi="Wingdings" w:hint="default"/>
      </w:rPr>
    </w:lvl>
    <w:lvl w:ilvl="1" w:tplc="0C0A0007">
      <w:start w:val="1"/>
      <w:numFmt w:val="bullet"/>
      <w:lvlText w:val=""/>
      <w:lvlPicBulletId w:val="0"/>
      <w:lvlJc w:val="left"/>
      <w:pPr>
        <w:tabs>
          <w:tab w:val="num" w:pos="2222"/>
        </w:tabs>
        <w:ind w:left="2222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42"/>
        </w:tabs>
        <w:ind w:left="2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62"/>
        </w:tabs>
        <w:ind w:left="3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82"/>
        </w:tabs>
        <w:ind w:left="4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02"/>
        </w:tabs>
        <w:ind w:left="5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22"/>
        </w:tabs>
        <w:ind w:left="5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42"/>
        </w:tabs>
        <w:ind w:left="6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62"/>
        </w:tabs>
        <w:ind w:left="7262" w:hanging="360"/>
      </w:pPr>
      <w:rPr>
        <w:rFonts w:ascii="Wingdings" w:hAnsi="Wingdings" w:hint="default"/>
      </w:rPr>
    </w:lvl>
  </w:abstractNum>
  <w:abstractNum w:abstractNumId="1">
    <w:nsid w:val="08B5388E"/>
    <w:multiLevelType w:val="hybridMultilevel"/>
    <w:tmpl w:val="D72EB0D6"/>
    <w:lvl w:ilvl="0" w:tplc="7F22D1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D97A0D"/>
    <w:multiLevelType w:val="hybridMultilevel"/>
    <w:tmpl w:val="DDC09D26"/>
    <w:lvl w:ilvl="0" w:tplc="7F22D152">
      <w:start w:val="1"/>
      <w:numFmt w:val="bullet"/>
      <w:lvlText w:val="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>
    <w:nsid w:val="0DF473D0"/>
    <w:multiLevelType w:val="hybridMultilevel"/>
    <w:tmpl w:val="796C8D6C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8421AF"/>
    <w:multiLevelType w:val="hybridMultilevel"/>
    <w:tmpl w:val="B95A4F64"/>
    <w:lvl w:ilvl="0" w:tplc="7F22D152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14856874"/>
    <w:multiLevelType w:val="hybridMultilevel"/>
    <w:tmpl w:val="0D8632AC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5FF0791"/>
    <w:multiLevelType w:val="multilevel"/>
    <w:tmpl w:val="B95A4F64"/>
    <w:lvl w:ilvl="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1E465D3"/>
    <w:multiLevelType w:val="multilevel"/>
    <w:tmpl w:val="6D142A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5C07D55"/>
    <w:multiLevelType w:val="hybridMultilevel"/>
    <w:tmpl w:val="F2A8D0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C6032B"/>
    <w:multiLevelType w:val="hybridMultilevel"/>
    <w:tmpl w:val="36E43B4C"/>
    <w:lvl w:ilvl="0" w:tplc="2D488A4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4C77C17"/>
    <w:multiLevelType w:val="hybridMultilevel"/>
    <w:tmpl w:val="C8E22926"/>
    <w:lvl w:ilvl="0" w:tplc="7F22D1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C34CA5"/>
    <w:multiLevelType w:val="hybridMultilevel"/>
    <w:tmpl w:val="ABF0B37A"/>
    <w:lvl w:ilvl="0" w:tplc="0C0A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8FCC1160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>
    <w:nsid w:val="3A99384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FC52B39"/>
    <w:multiLevelType w:val="hybridMultilevel"/>
    <w:tmpl w:val="EE329B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F04B2C"/>
    <w:multiLevelType w:val="hybridMultilevel"/>
    <w:tmpl w:val="4E6E2E0C"/>
    <w:lvl w:ilvl="0" w:tplc="0C0A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9174AFB"/>
    <w:multiLevelType w:val="hybridMultilevel"/>
    <w:tmpl w:val="8ED2B6B4"/>
    <w:lvl w:ilvl="0" w:tplc="BA967BAA">
      <w:start w:val="1"/>
      <w:numFmt w:val="bullet"/>
      <w:lvlText w:val="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4D45F1"/>
    <w:multiLevelType w:val="singleLevel"/>
    <w:tmpl w:val="DD04644A"/>
    <w:lvl w:ilvl="0">
      <w:start w:val="1"/>
      <w:numFmt w:val="bullet"/>
      <w:lvlText w:val=""/>
      <w:lvlJc w:val="left"/>
      <w:pPr>
        <w:tabs>
          <w:tab w:val="num" w:pos="417"/>
        </w:tabs>
        <w:ind w:left="284" w:hanging="227"/>
      </w:pPr>
      <w:rPr>
        <w:rFonts w:ascii="Wingdings" w:hAnsi="Wingdings" w:hint="default"/>
        <w:spacing w:val="10"/>
      </w:rPr>
    </w:lvl>
  </w:abstractNum>
  <w:abstractNum w:abstractNumId="17">
    <w:nsid w:val="6098704C"/>
    <w:multiLevelType w:val="hybridMultilevel"/>
    <w:tmpl w:val="3D7666B4"/>
    <w:lvl w:ilvl="0" w:tplc="0C0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7F22D1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2"/>
        <w:szCs w:val="22"/>
      </w:rPr>
    </w:lvl>
    <w:lvl w:ilvl="2" w:tplc="0C0A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2076644"/>
    <w:multiLevelType w:val="singleLevel"/>
    <w:tmpl w:val="DD04644A"/>
    <w:lvl w:ilvl="0">
      <w:start w:val="1"/>
      <w:numFmt w:val="bullet"/>
      <w:lvlText w:val=""/>
      <w:lvlJc w:val="left"/>
      <w:pPr>
        <w:tabs>
          <w:tab w:val="num" w:pos="417"/>
        </w:tabs>
        <w:ind w:left="284" w:hanging="227"/>
      </w:pPr>
      <w:rPr>
        <w:rFonts w:ascii="Wingdings" w:hAnsi="Wingdings" w:hint="default"/>
        <w:spacing w:val="10"/>
      </w:rPr>
    </w:lvl>
  </w:abstractNum>
  <w:abstractNum w:abstractNumId="19">
    <w:nsid w:val="62E9530D"/>
    <w:multiLevelType w:val="hybridMultilevel"/>
    <w:tmpl w:val="E900344A"/>
    <w:lvl w:ilvl="0" w:tplc="86D876E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6724299F"/>
    <w:multiLevelType w:val="hybridMultilevel"/>
    <w:tmpl w:val="FB629B60"/>
    <w:lvl w:ilvl="0" w:tplc="7F22D152">
      <w:start w:val="1"/>
      <w:numFmt w:val="bullet"/>
      <w:lvlText w:val="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6DAF2512"/>
    <w:multiLevelType w:val="singleLevel"/>
    <w:tmpl w:val="DD04644A"/>
    <w:lvl w:ilvl="0">
      <w:start w:val="1"/>
      <w:numFmt w:val="bullet"/>
      <w:lvlText w:val=""/>
      <w:lvlJc w:val="left"/>
      <w:pPr>
        <w:tabs>
          <w:tab w:val="num" w:pos="417"/>
        </w:tabs>
        <w:ind w:left="284" w:hanging="227"/>
      </w:pPr>
      <w:rPr>
        <w:rFonts w:ascii="Wingdings" w:hAnsi="Wingdings" w:hint="default"/>
        <w:spacing w:val="10"/>
      </w:rPr>
    </w:lvl>
  </w:abstractNum>
  <w:abstractNum w:abstractNumId="22">
    <w:nsid w:val="7D310CB5"/>
    <w:multiLevelType w:val="hybridMultilevel"/>
    <w:tmpl w:val="5DE6A718"/>
    <w:lvl w:ilvl="0" w:tplc="F9B42E2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CF7BFA"/>
    <w:multiLevelType w:val="hybridMultilevel"/>
    <w:tmpl w:val="F3C2DDBE"/>
    <w:lvl w:ilvl="0" w:tplc="E722C3A6">
      <w:start w:val="1"/>
      <w:numFmt w:val="bullet"/>
      <w:lvlText w:val="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8FCC1160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9"/>
  </w:num>
  <w:num w:numId="5">
    <w:abstractNumId w:val="22"/>
  </w:num>
  <w:num w:numId="6">
    <w:abstractNumId w:val="17"/>
  </w:num>
  <w:num w:numId="7">
    <w:abstractNumId w:val="10"/>
  </w:num>
  <w:num w:numId="8">
    <w:abstractNumId w:val="1"/>
  </w:num>
  <w:num w:numId="9">
    <w:abstractNumId w:val="15"/>
  </w:num>
  <w:num w:numId="10">
    <w:abstractNumId w:val="2"/>
  </w:num>
  <w:num w:numId="11">
    <w:abstractNumId w:val="4"/>
  </w:num>
  <w:num w:numId="12">
    <w:abstractNumId w:val="14"/>
  </w:num>
  <w:num w:numId="13">
    <w:abstractNumId w:val="0"/>
  </w:num>
  <w:num w:numId="14">
    <w:abstractNumId w:val="3"/>
  </w:num>
  <w:num w:numId="15">
    <w:abstractNumId w:val="8"/>
  </w:num>
  <w:num w:numId="16">
    <w:abstractNumId w:val="13"/>
  </w:num>
  <w:num w:numId="17">
    <w:abstractNumId w:val="11"/>
  </w:num>
  <w:num w:numId="18">
    <w:abstractNumId w:val="23"/>
  </w:num>
  <w:num w:numId="19">
    <w:abstractNumId w:val="6"/>
  </w:num>
  <w:num w:numId="20">
    <w:abstractNumId w:val="20"/>
  </w:num>
  <w:num w:numId="21">
    <w:abstractNumId w:val="18"/>
  </w:num>
  <w:num w:numId="22">
    <w:abstractNumId w:val="16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FB"/>
    <w:rsid w:val="00002A44"/>
    <w:rsid w:val="00006524"/>
    <w:rsid w:val="0000671F"/>
    <w:rsid w:val="00026682"/>
    <w:rsid w:val="00026984"/>
    <w:rsid w:val="0002738B"/>
    <w:rsid w:val="000A6A28"/>
    <w:rsid w:val="000B08AE"/>
    <w:rsid w:val="000B4B28"/>
    <w:rsid w:val="000C5C2B"/>
    <w:rsid w:val="000C7680"/>
    <w:rsid w:val="000D224B"/>
    <w:rsid w:val="000D5D46"/>
    <w:rsid w:val="000E4F4F"/>
    <w:rsid w:val="000E6160"/>
    <w:rsid w:val="000E71FD"/>
    <w:rsid w:val="00104F26"/>
    <w:rsid w:val="00116559"/>
    <w:rsid w:val="00125FCE"/>
    <w:rsid w:val="00130F85"/>
    <w:rsid w:val="00133EA3"/>
    <w:rsid w:val="00136718"/>
    <w:rsid w:val="001807A5"/>
    <w:rsid w:val="0019512B"/>
    <w:rsid w:val="001B21D5"/>
    <w:rsid w:val="001E732B"/>
    <w:rsid w:val="002156A8"/>
    <w:rsid w:val="00221ABB"/>
    <w:rsid w:val="00222EEC"/>
    <w:rsid w:val="00242699"/>
    <w:rsid w:val="00252110"/>
    <w:rsid w:val="002925BB"/>
    <w:rsid w:val="002C27AB"/>
    <w:rsid w:val="002E27B5"/>
    <w:rsid w:val="002F5707"/>
    <w:rsid w:val="00352609"/>
    <w:rsid w:val="003636DD"/>
    <w:rsid w:val="0039043E"/>
    <w:rsid w:val="003B6EDF"/>
    <w:rsid w:val="003C0994"/>
    <w:rsid w:val="003F5593"/>
    <w:rsid w:val="00426576"/>
    <w:rsid w:val="00430336"/>
    <w:rsid w:val="00440CEF"/>
    <w:rsid w:val="0044287F"/>
    <w:rsid w:val="0047065B"/>
    <w:rsid w:val="00494FF6"/>
    <w:rsid w:val="004B3A0D"/>
    <w:rsid w:val="004B41AE"/>
    <w:rsid w:val="004D50A4"/>
    <w:rsid w:val="004F24BF"/>
    <w:rsid w:val="004F4817"/>
    <w:rsid w:val="0051271A"/>
    <w:rsid w:val="005172EA"/>
    <w:rsid w:val="00520B5A"/>
    <w:rsid w:val="005260D6"/>
    <w:rsid w:val="00554819"/>
    <w:rsid w:val="00561F40"/>
    <w:rsid w:val="00573F8D"/>
    <w:rsid w:val="00581EC1"/>
    <w:rsid w:val="005B175C"/>
    <w:rsid w:val="005B2EE3"/>
    <w:rsid w:val="005C3E7B"/>
    <w:rsid w:val="005C4DE3"/>
    <w:rsid w:val="005D0B66"/>
    <w:rsid w:val="005F2855"/>
    <w:rsid w:val="00640F3C"/>
    <w:rsid w:val="0067414C"/>
    <w:rsid w:val="00685BCB"/>
    <w:rsid w:val="006860E0"/>
    <w:rsid w:val="006B37BA"/>
    <w:rsid w:val="006B72B5"/>
    <w:rsid w:val="006B7DDF"/>
    <w:rsid w:val="006D68F8"/>
    <w:rsid w:val="007158B3"/>
    <w:rsid w:val="00723904"/>
    <w:rsid w:val="00732C39"/>
    <w:rsid w:val="00733914"/>
    <w:rsid w:val="00752435"/>
    <w:rsid w:val="00765A68"/>
    <w:rsid w:val="00773AAC"/>
    <w:rsid w:val="007B0BE1"/>
    <w:rsid w:val="007B74C3"/>
    <w:rsid w:val="007C3760"/>
    <w:rsid w:val="007D7859"/>
    <w:rsid w:val="007D7F1A"/>
    <w:rsid w:val="007F2927"/>
    <w:rsid w:val="00807624"/>
    <w:rsid w:val="008174FD"/>
    <w:rsid w:val="008212F9"/>
    <w:rsid w:val="00832C7B"/>
    <w:rsid w:val="00890B5A"/>
    <w:rsid w:val="0089176D"/>
    <w:rsid w:val="008A6752"/>
    <w:rsid w:val="008A7D1B"/>
    <w:rsid w:val="008C35CC"/>
    <w:rsid w:val="008C4703"/>
    <w:rsid w:val="008E4AF8"/>
    <w:rsid w:val="008F4FA4"/>
    <w:rsid w:val="00920413"/>
    <w:rsid w:val="009237DA"/>
    <w:rsid w:val="00926DB3"/>
    <w:rsid w:val="00926F45"/>
    <w:rsid w:val="009314E5"/>
    <w:rsid w:val="0093251D"/>
    <w:rsid w:val="009375D1"/>
    <w:rsid w:val="0094479D"/>
    <w:rsid w:val="00961526"/>
    <w:rsid w:val="00982A85"/>
    <w:rsid w:val="00987210"/>
    <w:rsid w:val="00987D27"/>
    <w:rsid w:val="00990BC4"/>
    <w:rsid w:val="009951D6"/>
    <w:rsid w:val="009D1C71"/>
    <w:rsid w:val="009D666A"/>
    <w:rsid w:val="00A030AD"/>
    <w:rsid w:val="00A04C4C"/>
    <w:rsid w:val="00A069BF"/>
    <w:rsid w:val="00A20B4D"/>
    <w:rsid w:val="00A340C0"/>
    <w:rsid w:val="00A35754"/>
    <w:rsid w:val="00A37D6F"/>
    <w:rsid w:val="00A47112"/>
    <w:rsid w:val="00A561CE"/>
    <w:rsid w:val="00A578B7"/>
    <w:rsid w:val="00A735F9"/>
    <w:rsid w:val="00A76AF2"/>
    <w:rsid w:val="00A77187"/>
    <w:rsid w:val="00A825FF"/>
    <w:rsid w:val="00A92293"/>
    <w:rsid w:val="00A93E6B"/>
    <w:rsid w:val="00A942AC"/>
    <w:rsid w:val="00AA0847"/>
    <w:rsid w:val="00AC7D19"/>
    <w:rsid w:val="00AD3112"/>
    <w:rsid w:val="00AD69C1"/>
    <w:rsid w:val="00AE5204"/>
    <w:rsid w:val="00AE67A9"/>
    <w:rsid w:val="00AF1805"/>
    <w:rsid w:val="00B07097"/>
    <w:rsid w:val="00B27B2D"/>
    <w:rsid w:val="00B40405"/>
    <w:rsid w:val="00B468B6"/>
    <w:rsid w:val="00B47E56"/>
    <w:rsid w:val="00B504EF"/>
    <w:rsid w:val="00B572CE"/>
    <w:rsid w:val="00B76FFD"/>
    <w:rsid w:val="00B87CE1"/>
    <w:rsid w:val="00B91AD7"/>
    <w:rsid w:val="00BA626D"/>
    <w:rsid w:val="00BB5B7B"/>
    <w:rsid w:val="00BB76EE"/>
    <w:rsid w:val="00BE2C26"/>
    <w:rsid w:val="00BE6428"/>
    <w:rsid w:val="00BE7FB3"/>
    <w:rsid w:val="00BF5404"/>
    <w:rsid w:val="00BF64A9"/>
    <w:rsid w:val="00C01163"/>
    <w:rsid w:val="00C1095B"/>
    <w:rsid w:val="00C11352"/>
    <w:rsid w:val="00C40ECA"/>
    <w:rsid w:val="00C56514"/>
    <w:rsid w:val="00C60849"/>
    <w:rsid w:val="00C70D0A"/>
    <w:rsid w:val="00C750FB"/>
    <w:rsid w:val="00C82551"/>
    <w:rsid w:val="00C859C7"/>
    <w:rsid w:val="00C933C8"/>
    <w:rsid w:val="00CA5D9C"/>
    <w:rsid w:val="00CC3D96"/>
    <w:rsid w:val="00CC4D6D"/>
    <w:rsid w:val="00CE16A7"/>
    <w:rsid w:val="00CE44BF"/>
    <w:rsid w:val="00CE76E2"/>
    <w:rsid w:val="00CF3C39"/>
    <w:rsid w:val="00D22842"/>
    <w:rsid w:val="00D26425"/>
    <w:rsid w:val="00D34D79"/>
    <w:rsid w:val="00D440B1"/>
    <w:rsid w:val="00D45FA1"/>
    <w:rsid w:val="00D52E08"/>
    <w:rsid w:val="00D6322A"/>
    <w:rsid w:val="00D64CF7"/>
    <w:rsid w:val="00D763FF"/>
    <w:rsid w:val="00D90CD6"/>
    <w:rsid w:val="00D94684"/>
    <w:rsid w:val="00DA412F"/>
    <w:rsid w:val="00DB03AE"/>
    <w:rsid w:val="00DB326D"/>
    <w:rsid w:val="00DB5C89"/>
    <w:rsid w:val="00DB7DB7"/>
    <w:rsid w:val="00DC465B"/>
    <w:rsid w:val="00DC6282"/>
    <w:rsid w:val="00DE0398"/>
    <w:rsid w:val="00DE10A6"/>
    <w:rsid w:val="00E0611A"/>
    <w:rsid w:val="00E2086A"/>
    <w:rsid w:val="00E44FFF"/>
    <w:rsid w:val="00E51534"/>
    <w:rsid w:val="00E52B88"/>
    <w:rsid w:val="00E72C83"/>
    <w:rsid w:val="00E96414"/>
    <w:rsid w:val="00EC2DD4"/>
    <w:rsid w:val="00ED30C1"/>
    <w:rsid w:val="00EF59D5"/>
    <w:rsid w:val="00F04D79"/>
    <w:rsid w:val="00F05414"/>
    <w:rsid w:val="00F30363"/>
    <w:rsid w:val="00F32317"/>
    <w:rsid w:val="00F43841"/>
    <w:rsid w:val="00F45CC7"/>
    <w:rsid w:val="00F53F07"/>
    <w:rsid w:val="00F64FA5"/>
    <w:rsid w:val="00F65500"/>
    <w:rsid w:val="00F85241"/>
    <w:rsid w:val="00FE087E"/>
    <w:rsid w:val="00FE2C6E"/>
    <w:rsid w:val="00FF587C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97"/>
    <w:rPr>
      <w:sz w:val="24"/>
      <w:szCs w:val="24"/>
      <w:lang w:val="en-GB" w:eastAsia="en-GB"/>
    </w:rPr>
  </w:style>
  <w:style w:type="paragraph" w:styleId="Ttulo1">
    <w:name w:val="heading 1"/>
    <w:basedOn w:val="Normal"/>
    <w:next w:val="Normal"/>
    <w:qFormat/>
    <w:rsid w:val="006860E0"/>
    <w:pPr>
      <w:keepNext/>
      <w:outlineLvl w:val="0"/>
    </w:pPr>
    <w:rPr>
      <w:rFonts w:ascii="Arial" w:hAnsi="Arial" w:cs="Arial"/>
      <w:b/>
      <w:bCs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qFormat/>
    <w:rsid w:val="006860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qFormat/>
    <w:rsid w:val="006860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6860E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 w:cs="Arial"/>
      <w:sz w:val="20"/>
      <w:lang w:val="es-ES" w:eastAsia="es-ES"/>
    </w:rPr>
  </w:style>
  <w:style w:type="paragraph" w:styleId="Sangradetextonormal">
    <w:name w:val="Body Text Indent"/>
    <w:basedOn w:val="Normal"/>
    <w:rsid w:val="006860E0"/>
    <w:pPr>
      <w:spacing w:after="120"/>
      <w:ind w:left="283"/>
    </w:pPr>
    <w:rPr>
      <w:lang w:val="es-ES" w:eastAsia="es-ES"/>
    </w:rPr>
  </w:style>
  <w:style w:type="paragraph" w:styleId="Textoindependiente">
    <w:name w:val="Body Text"/>
    <w:basedOn w:val="Normal"/>
    <w:rsid w:val="006860E0"/>
    <w:pPr>
      <w:spacing w:after="120"/>
    </w:pPr>
    <w:rPr>
      <w:lang w:val="es-ES" w:eastAsia="es-ES"/>
    </w:rPr>
  </w:style>
  <w:style w:type="character" w:styleId="Hipervnculo">
    <w:name w:val="Hyperlink"/>
    <w:basedOn w:val="Fuentedeprrafopredeter"/>
    <w:rsid w:val="006860E0"/>
    <w:rPr>
      <w:color w:val="0000FF"/>
      <w:u w:val="single"/>
    </w:rPr>
  </w:style>
  <w:style w:type="paragraph" w:styleId="Textoindependiente3">
    <w:name w:val="Body Text 3"/>
    <w:basedOn w:val="Normal"/>
    <w:rsid w:val="006860E0"/>
    <w:pPr>
      <w:spacing w:after="120"/>
    </w:pPr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686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TEXTE">
    <w:name w:val="1 TEXTE"/>
    <w:basedOn w:val="Normal"/>
    <w:rsid w:val="006860E0"/>
    <w:pPr>
      <w:ind w:left="426"/>
    </w:pPr>
    <w:rPr>
      <w:szCs w:val="20"/>
      <w:lang w:val="es-ES_tradnl" w:eastAsia="es-ES"/>
    </w:rPr>
  </w:style>
  <w:style w:type="paragraph" w:styleId="Encabezado">
    <w:name w:val="header"/>
    <w:basedOn w:val="Normal"/>
    <w:rsid w:val="00DB5C8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B5C8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B5C89"/>
  </w:style>
  <w:style w:type="paragraph" w:customStyle="1" w:styleId="Sangra2detindependiente1">
    <w:name w:val="Sangría 2 de t. independiente1"/>
    <w:basedOn w:val="Normal"/>
    <w:rsid w:val="003B6EDF"/>
    <w:pPr>
      <w:tabs>
        <w:tab w:val="center" w:pos="4536"/>
        <w:tab w:val="right" w:pos="9072"/>
      </w:tabs>
      <w:ind w:left="567"/>
      <w:jc w:val="both"/>
    </w:pPr>
    <w:rPr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7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71A"/>
    <w:rPr>
      <w:rFonts w:ascii="Tahoma" w:hAnsi="Tahoma" w:cs="Tahoma"/>
      <w:sz w:val="16"/>
      <w:szCs w:val="16"/>
      <w:lang w:val="en-GB" w:eastAsia="en-GB"/>
    </w:rPr>
  </w:style>
  <w:style w:type="paragraph" w:styleId="Prrafodelista">
    <w:name w:val="List Paragraph"/>
    <w:basedOn w:val="Normal"/>
    <w:uiPriority w:val="34"/>
    <w:qFormat/>
    <w:rsid w:val="00C60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97"/>
    <w:rPr>
      <w:sz w:val="24"/>
      <w:szCs w:val="24"/>
      <w:lang w:val="en-GB" w:eastAsia="en-GB"/>
    </w:rPr>
  </w:style>
  <w:style w:type="paragraph" w:styleId="Ttulo1">
    <w:name w:val="heading 1"/>
    <w:basedOn w:val="Normal"/>
    <w:next w:val="Normal"/>
    <w:qFormat/>
    <w:rsid w:val="006860E0"/>
    <w:pPr>
      <w:keepNext/>
      <w:outlineLvl w:val="0"/>
    </w:pPr>
    <w:rPr>
      <w:rFonts w:ascii="Arial" w:hAnsi="Arial" w:cs="Arial"/>
      <w:b/>
      <w:bCs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qFormat/>
    <w:rsid w:val="006860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qFormat/>
    <w:rsid w:val="006860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6860E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 w:cs="Arial"/>
      <w:sz w:val="20"/>
      <w:lang w:val="es-ES" w:eastAsia="es-ES"/>
    </w:rPr>
  </w:style>
  <w:style w:type="paragraph" w:styleId="Sangradetextonormal">
    <w:name w:val="Body Text Indent"/>
    <w:basedOn w:val="Normal"/>
    <w:rsid w:val="006860E0"/>
    <w:pPr>
      <w:spacing w:after="120"/>
      <w:ind w:left="283"/>
    </w:pPr>
    <w:rPr>
      <w:lang w:val="es-ES" w:eastAsia="es-ES"/>
    </w:rPr>
  </w:style>
  <w:style w:type="paragraph" w:styleId="Textoindependiente">
    <w:name w:val="Body Text"/>
    <w:basedOn w:val="Normal"/>
    <w:rsid w:val="006860E0"/>
    <w:pPr>
      <w:spacing w:after="120"/>
    </w:pPr>
    <w:rPr>
      <w:lang w:val="es-ES" w:eastAsia="es-ES"/>
    </w:rPr>
  </w:style>
  <w:style w:type="character" w:styleId="Hipervnculo">
    <w:name w:val="Hyperlink"/>
    <w:basedOn w:val="Fuentedeprrafopredeter"/>
    <w:rsid w:val="006860E0"/>
    <w:rPr>
      <w:color w:val="0000FF"/>
      <w:u w:val="single"/>
    </w:rPr>
  </w:style>
  <w:style w:type="paragraph" w:styleId="Textoindependiente3">
    <w:name w:val="Body Text 3"/>
    <w:basedOn w:val="Normal"/>
    <w:rsid w:val="006860E0"/>
    <w:pPr>
      <w:spacing w:after="120"/>
    </w:pPr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686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TEXTE">
    <w:name w:val="1 TEXTE"/>
    <w:basedOn w:val="Normal"/>
    <w:rsid w:val="006860E0"/>
    <w:pPr>
      <w:ind w:left="426"/>
    </w:pPr>
    <w:rPr>
      <w:szCs w:val="20"/>
      <w:lang w:val="es-ES_tradnl" w:eastAsia="es-ES"/>
    </w:rPr>
  </w:style>
  <w:style w:type="paragraph" w:styleId="Encabezado">
    <w:name w:val="header"/>
    <w:basedOn w:val="Normal"/>
    <w:rsid w:val="00DB5C8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B5C8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B5C89"/>
  </w:style>
  <w:style w:type="paragraph" w:customStyle="1" w:styleId="Sangra2detindependiente1">
    <w:name w:val="Sangría 2 de t. independiente1"/>
    <w:basedOn w:val="Normal"/>
    <w:rsid w:val="003B6EDF"/>
    <w:pPr>
      <w:tabs>
        <w:tab w:val="center" w:pos="4536"/>
        <w:tab w:val="right" w:pos="9072"/>
      </w:tabs>
      <w:ind w:left="567"/>
      <w:jc w:val="both"/>
    </w:pPr>
    <w:rPr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7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71A"/>
    <w:rPr>
      <w:rFonts w:ascii="Tahoma" w:hAnsi="Tahoma" w:cs="Tahoma"/>
      <w:sz w:val="16"/>
      <w:szCs w:val="16"/>
      <w:lang w:val="en-GB" w:eastAsia="en-GB"/>
    </w:rPr>
  </w:style>
  <w:style w:type="paragraph" w:styleId="Prrafodelista">
    <w:name w:val="List Paragraph"/>
    <w:basedOn w:val="Normal"/>
    <w:uiPriority w:val="34"/>
    <w:qFormat/>
    <w:rsid w:val="00C60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8C13F9-53F4-4534-A19F-C8FE762D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AUTORIZACION DE EMISION DE GASES DE EFECTO INVERNADERO</vt:lpstr>
    </vt:vector>
  </TitlesOfParts>
  <Company>Michelin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AUTORIZACION DE EMISION DE GASES DE EFECTO INVERNADERO</dc:title>
  <dc:creator>j000119</dc:creator>
  <cp:lastModifiedBy>Maria-Esther Baro-Martinez</cp:lastModifiedBy>
  <cp:revision>3</cp:revision>
  <cp:lastPrinted>2019-05-06T15:05:00Z</cp:lastPrinted>
  <dcterms:created xsi:type="dcterms:W3CDTF">2019-05-31T09:28:00Z</dcterms:created>
  <dcterms:modified xsi:type="dcterms:W3CDTF">2019-05-31T09:35:00Z</dcterms:modified>
</cp:coreProperties>
</file>